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E5D49" w14:textId="4B02CEF3" w:rsidR="00DD341B" w:rsidRPr="00DD341B" w:rsidRDefault="00DD341B" w:rsidP="003B56B3">
      <w:pPr>
        <w:pStyle w:val="Header"/>
        <w:widowControl w:val="0"/>
        <w:tabs>
          <w:tab w:val="clear" w:pos="4536"/>
          <w:tab w:val="clear" w:pos="9072"/>
        </w:tabs>
        <w:ind w:right="-58"/>
        <w:jc w:val="both"/>
        <w:rPr>
          <w:rFonts w:ascii="Arial" w:eastAsia="MS Mincho" w:hAnsi="Arial" w:cs="Arial"/>
          <w:b/>
          <w:bCs/>
          <w:sz w:val="24"/>
          <w:highlight w:val="yellow"/>
          <w:lang w:eastAsia="ja-JP"/>
        </w:rPr>
      </w:pPr>
      <w:r w:rsidRPr="00884ABE">
        <w:rPr>
          <w:rFonts w:ascii="Arial" w:hAnsi="Arial" w:cs="Arial"/>
          <w:b/>
          <w:bCs/>
          <w:sz w:val="24"/>
        </w:rPr>
        <w:t xml:space="preserve">3GPP TSG RAN WG1 </w:t>
      </w:r>
      <w:r w:rsidR="00642504">
        <w:rPr>
          <w:rFonts w:ascii="Arial" w:hAnsi="Arial" w:cs="Arial"/>
          <w:b/>
          <w:bCs/>
          <w:sz w:val="24"/>
        </w:rPr>
        <w:t xml:space="preserve">Meeting </w:t>
      </w:r>
      <w:r w:rsidR="00021BED">
        <w:rPr>
          <w:rFonts w:ascii="Arial" w:hAnsi="Arial" w:cs="Arial"/>
          <w:b/>
          <w:bCs/>
          <w:sz w:val="24"/>
        </w:rPr>
        <w:t>#</w:t>
      </w:r>
      <w:r w:rsidR="005737EC">
        <w:rPr>
          <w:rFonts w:ascii="Arial" w:hAnsi="Arial" w:cs="Arial"/>
          <w:b/>
          <w:bCs/>
          <w:sz w:val="24"/>
        </w:rPr>
        <w:t>90bis</w:t>
      </w:r>
      <w:r w:rsidR="00021BED">
        <w:rPr>
          <w:rFonts w:ascii="Arial" w:hAnsi="Arial" w:cs="Arial"/>
          <w:b/>
          <w:bCs/>
          <w:sz w:val="24"/>
        </w:rPr>
        <w:tab/>
      </w:r>
      <w:r w:rsidR="00021BED">
        <w:rPr>
          <w:rFonts w:ascii="Arial" w:hAnsi="Arial" w:cs="Arial"/>
          <w:b/>
          <w:bCs/>
          <w:sz w:val="24"/>
        </w:rPr>
        <w:tab/>
      </w:r>
      <w:r w:rsidR="00021BED">
        <w:rPr>
          <w:rFonts w:ascii="Arial" w:hAnsi="Arial" w:cs="Arial"/>
          <w:b/>
          <w:bCs/>
          <w:sz w:val="24"/>
        </w:rPr>
        <w:tab/>
      </w:r>
      <w:r w:rsidR="00021BED">
        <w:rPr>
          <w:rFonts w:ascii="Arial" w:hAnsi="Arial" w:cs="Arial"/>
          <w:b/>
          <w:bCs/>
          <w:sz w:val="24"/>
        </w:rPr>
        <w:tab/>
      </w:r>
      <w:r w:rsidR="00021BED">
        <w:rPr>
          <w:rFonts w:ascii="Arial" w:hAnsi="Arial" w:cs="Arial"/>
          <w:b/>
          <w:bCs/>
          <w:sz w:val="24"/>
        </w:rPr>
        <w:tab/>
      </w:r>
      <w:r w:rsidR="00021BED">
        <w:rPr>
          <w:rFonts w:ascii="Arial" w:hAnsi="Arial" w:cs="Arial"/>
          <w:b/>
          <w:bCs/>
          <w:sz w:val="24"/>
        </w:rPr>
        <w:tab/>
        <w:t xml:space="preserve">   </w:t>
      </w:r>
      <w:r w:rsidR="009F47D0" w:rsidRPr="009F47D0">
        <w:rPr>
          <w:rFonts w:ascii="Arial" w:eastAsia="MS Mincho" w:hAnsi="Arial" w:cs="Arial"/>
          <w:b/>
          <w:bCs/>
          <w:sz w:val="24"/>
          <w:lang w:eastAsia="ja-JP"/>
        </w:rPr>
        <w:t>R1-1</w:t>
      </w:r>
      <w:r w:rsidR="004A2ABE">
        <w:rPr>
          <w:rFonts w:ascii="Arial" w:eastAsia="MS Mincho" w:hAnsi="Arial" w:cs="Arial"/>
          <w:b/>
          <w:bCs/>
          <w:sz w:val="24"/>
          <w:lang w:eastAsia="ja-JP"/>
        </w:rPr>
        <w:t>7</w:t>
      </w:r>
      <w:r w:rsidR="008455C6">
        <w:rPr>
          <w:rFonts w:ascii="Arial" w:eastAsia="MS Mincho" w:hAnsi="Arial" w:cs="Arial"/>
          <w:b/>
          <w:bCs/>
          <w:sz w:val="24"/>
          <w:lang w:eastAsia="ja-JP"/>
        </w:rPr>
        <w:t>1</w:t>
      </w:r>
      <w:r w:rsidR="005737EC">
        <w:rPr>
          <w:rFonts w:ascii="Arial" w:eastAsia="MS Mincho" w:hAnsi="Arial" w:cs="Arial"/>
          <w:b/>
          <w:bCs/>
          <w:sz w:val="24"/>
          <w:lang w:eastAsia="ja-JP"/>
        </w:rPr>
        <w:t>7716</w:t>
      </w:r>
    </w:p>
    <w:p w14:paraId="071D794A" w14:textId="0A18C34D" w:rsidR="00DD341B" w:rsidRPr="00EE6A59" w:rsidRDefault="005737EC" w:rsidP="003B56B3">
      <w:pPr>
        <w:pStyle w:val="Header"/>
        <w:widowControl w:val="0"/>
        <w:tabs>
          <w:tab w:val="clear" w:pos="4536"/>
          <w:tab w:val="clear" w:pos="9072"/>
        </w:tabs>
        <w:ind w:right="-58"/>
        <w:jc w:val="both"/>
        <w:rPr>
          <w:rFonts w:ascii="Arial" w:eastAsia="MS Mincho" w:hAnsi="Arial" w:cs="Arial"/>
          <w:b/>
          <w:bCs/>
          <w:sz w:val="24"/>
          <w:lang w:val="en-US" w:eastAsia="ja-JP"/>
        </w:rPr>
      </w:pPr>
      <w:r>
        <w:rPr>
          <w:rFonts w:ascii="Arial" w:eastAsia="Malgun Gothic" w:hAnsi="Arial" w:cs="Arial"/>
          <w:b/>
          <w:bCs/>
          <w:sz w:val="24"/>
        </w:rPr>
        <w:t>Prague, Czech Republic</w:t>
      </w:r>
      <w:r w:rsidR="00021BED">
        <w:rPr>
          <w:rFonts w:ascii="Arial" w:eastAsia="Malgun Gothic" w:hAnsi="Arial" w:cs="Arial"/>
          <w:b/>
          <w:bCs/>
          <w:sz w:val="24"/>
        </w:rPr>
        <w:t xml:space="preserve">, </w:t>
      </w:r>
      <w:r>
        <w:rPr>
          <w:rFonts w:ascii="Arial" w:eastAsia="Malgun Gothic" w:hAnsi="Arial" w:cs="Arial"/>
          <w:b/>
          <w:bCs/>
          <w:sz w:val="24"/>
        </w:rPr>
        <w:t>9</w:t>
      </w:r>
      <w:r w:rsidR="00021BED">
        <w:rPr>
          <w:rFonts w:ascii="Arial" w:eastAsia="Malgun Gothic" w:hAnsi="Arial" w:cs="Arial"/>
          <w:b/>
          <w:bCs/>
          <w:sz w:val="24"/>
          <w:vertAlign w:val="superscript"/>
        </w:rPr>
        <w:t>th</w:t>
      </w:r>
      <w:r w:rsidR="00021BED">
        <w:rPr>
          <w:rFonts w:ascii="Arial" w:eastAsia="Malgun Gothic" w:hAnsi="Arial" w:cs="Arial"/>
          <w:b/>
          <w:bCs/>
          <w:sz w:val="24"/>
        </w:rPr>
        <w:t>–</w:t>
      </w:r>
      <w:r>
        <w:rPr>
          <w:rFonts w:ascii="Arial" w:eastAsia="Malgun Gothic" w:hAnsi="Arial" w:cs="Arial"/>
          <w:b/>
          <w:bCs/>
          <w:sz w:val="24"/>
        </w:rPr>
        <w:t>13</w:t>
      </w:r>
      <w:r>
        <w:rPr>
          <w:rFonts w:ascii="Arial" w:eastAsia="Malgun Gothic" w:hAnsi="Arial" w:cs="Arial"/>
          <w:b/>
          <w:bCs/>
          <w:sz w:val="24"/>
          <w:vertAlign w:val="superscript"/>
        </w:rPr>
        <w:t>th</w:t>
      </w:r>
      <w:r w:rsidR="00021BED">
        <w:rPr>
          <w:rFonts w:ascii="Arial" w:eastAsia="Malgun Gothic" w:hAnsi="Arial" w:cs="Arial"/>
          <w:b/>
          <w:bCs/>
          <w:sz w:val="24"/>
        </w:rPr>
        <w:t xml:space="preserve"> </w:t>
      </w:r>
      <w:r>
        <w:rPr>
          <w:rFonts w:ascii="Arial" w:eastAsia="Malgun Gothic" w:hAnsi="Arial" w:cs="Arial"/>
          <w:b/>
          <w:bCs/>
          <w:sz w:val="24"/>
        </w:rPr>
        <w:t>October</w:t>
      </w:r>
      <w:r w:rsidR="00021BED">
        <w:rPr>
          <w:rFonts w:ascii="Arial" w:eastAsia="Malgun Gothic" w:hAnsi="Arial" w:cs="Arial"/>
          <w:b/>
          <w:bCs/>
          <w:sz w:val="24"/>
        </w:rPr>
        <w:t xml:space="preserve"> 2017</w:t>
      </w:r>
    </w:p>
    <w:p w14:paraId="10C2AF1A" w14:textId="77777777" w:rsidR="00C76862" w:rsidRPr="00FC7A07" w:rsidRDefault="00C76862" w:rsidP="003B56B3">
      <w:pPr>
        <w:pStyle w:val="Header"/>
        <w:widowControl w:val="0"/>
        <w:tabs>
          <w:tab w:val="clear" w:pos="4536"/>
          <w:tab w:val="clear" w:pos="9072"/>
        </w:tabs>
        <w:ind w:right="-58"/>
        <w:jc w:val="both"/>
        <w:rPr>
          <w:rFonts w:ascii="Arial" w:hAnsi="Arial" w:cs="Arial"/>
          <w:b/>
          <w:bCs/>
          <w:sz w:val="24"/>
          <w:lang w:val="de-DE"/>
        </w:rPr>
      </w:pPr>
    </w:p>
    <w:p w14:paraId="4B4C4CAC" w14:textId="1E4AC96A" w:rsidR="004C6C01" w:rsidRPr="003C3E73" w:rsidRDefault="004C6C01" w:rsidP="003B56B3">
      <w:pPr>
        <w:pStyle w:val="Header"/>
        <w:widowControl w:val="0"/>
        <w:tabs>
          <w:tab w:val="clear" w:pos="4536"/>
          <w:tab w:val="clear" w:pos="9072"/>
        </w:tabs>
        <w:ind w:right="-57"/>
        <w:rPr>
          <w:rFonts w:ascii="Arial" w:eastAsia="MS Mincho" w:hAnsi="Arial" w:cs="Arial"/>
          <w:b/>
          <w:bCs/>
          <w:sz w:val="24"/>
          <w:lang w:val="en-US" w:eastAsia="ja-JP"/>
        </w:rPr>
      </w:pPr>
      <w:bookmarkStart w:id="0" w:name="Source"/>
      <w:bookmarkEnd w:id="0"/>
      <w:r w:rsidRPr="003C3E73">
        <w:rPr>
          <w:rFonts w:ascii="Arial" w:hAnsi="Arial" w:cs="Arial"/>
          <w:b/>
          <w:bCs/>
          <w:sz w:val="24"/>
          <w:lang w:val="en-US"/>
        </w:rPr>
        <w:t>Agenda Item:</w:t>
      </w:r>
      <w:r w:rsidRPr="003C3E73">
        <w:rPr>
          <w:rFonts w:ascii="Arial" w:hAnsi="Arial" w:cs="Arial"/>
          <w:b/>
          <w:bCs/>
          <w:sz w:val="24"/>
          <w:lang w:val="en-US"/>
        </w:rPr>
        <w:tab/>
      </w:r>
      <w:r w:rsidR="005737EC">
        <w:rPr>
          <w:rFonts w:ascii="Arial" w:eastAsiaTheme="minorEastAsia" w:hAnsi="Arial" w:cs="Arial"/>
          <w:b/>
          <w:bCs/>
          <w:sz w:val="24"/>
          <w:lang w:val="en-US" w:eastAsia="ja-JP"/>
        </w:rPr>
        <w:t>7</w:t>
      </w:r>
      <w:r>
        <w:rPr>
          <w:rFonts w:ascii="Arial" w:eastAsiaTheme="minorEastAsia" w:hAnsi="Arial" w:cs="Arial"/>
          <w:b/>
          <w:bCs/>
          <w:sz w:val="24"/>
          <w:lang w:val="en-US" w:eastAsia="ja-JP"/>
        </w:rPr>
        <w:t>.</w:t>
      </w:r>
      <w:r w:rsidR="005737EC">
        <w:rPr>
          <w:rFonts w:ascii="Arial" w:eastAsiaTheme="minorEastAsia" w:hAnsi="Arial" w:cs="Arial"/>
          <w:b/>
          <w:bCs/>
          <w:sz w:val="24"/>
          <w:lang w:val="en-US" w:eastAsia="ja-JP"/>
        </w:rPr>
        <w:t>2</w:t>
      </w:r>
      <w:r w:rsidR="00021BED">
        <w:rPr>
          <w:rFonts w:ascii="Arial" w:eastAsiaTheme="minorEastAsia" w:hAnsi="Arial" w:cs="Arial"/>
          <w:b/>
          <w:bCs/>
          <w:sz w:val="24"/>
          <w:lang w:val="en-US" w:eastAsia="ja-JP"/>
        </w:rPr>
        <w:t>.</w:t>
      </w:r>
      <w:r w:rsidR="005737EC">
        <w:rPr>
          <w:rFonts w:ascii="Arial" w:eastAsiaTheme="minorEastAsia" w:hAnsi="Arial" w:cs="Arial"/>
          <w:b/>
          <w:bCs/>
          <w:sz w:val="24"/>
          <w:lang w:val="en-US" w:eastAsia="ja-JP"/>
        </w:rPr>
        <w:t>2</w:t>
      </w:r>
      <w:r w:rsidR="00021BED">
        <w:rPr>
          <w:rFonts w:ascii="Arial" w:eastAsiaTheme="minorEastAsia" w:hAnsi="Arial" w:cs="Arial"/>
          <w:b/>
          <w:bCs/>
          <w:sz w:val="24"/>
          <w:lang w:val="en-US" w:eastAsia="ja-JP"/>
        </w:rPr>
        <w:t>.</w:t>
      </w:r>
      <w:r w:rsidR="005737EC">
        <w:rPr>
          <w:rFonts w:ascii="Arial" w:eastAsiaTheme="minorEastAsia" w:hAnsi="Arial" w:cs="Arial"/>
          <w:b/>
          <w:bCs/>
          <w:sz w:val="24"/>
          <w:lang w:val="en-US" w:eastAsia="ja-JP"/>
        </w:rPr>
        <w:t>3</w:t>
      </w:r>
    </w:p>
    <w:p w14:paraId="49263967" w14:textId="45B84C99" w:rsidR="004C6C01" w:rsidRPr="003C3E73" w:rsidRDefault="004C6C01" w:rsidP="003B56B3">
      <w:pPr>
        <w:pStyle w:val="Header"/>
        <w:widowControl w:val="0"/>
        <w:tabs>
          <w:tab w:val="clear" w:pos="4536"/>
          <w:tab w:val="clear" w:pos="9072"/>
        </w:tabs>
        <w:ind w:right="-57"/>
        <w:rPr>
          <w:rFonts w:ascii="Arial" w:hAnsi="Arial" w:cs="Arial"/>
          <w:b/>
          <w:bCs/>
          <w:sz w:val="24"/>
          <w:lang w:val="en-US"/>
        </w:rPr>
      </w:pPr>
      <w:r w:rsidRPr="003C3E73">
        <w:rPr>
          <w:rFonts w:ascii="Arial" w:hAnsi="Arial" w:cs="Arial"/>
          <w:b/>
          <w:bCs/>
          <w:sz w:val="24"/>
          <w:lang w:val="en-US"/>
        </w:rPr>
        <w:t xml:space="preserve">Source: </w:t>
      </w:r>
      <w:r w:rsidRPr="003C3E73">
        <w:rPr>
          <w:rFonts w:ascii="Arial" w:eastAsiaTheme="minorEastAsia" w:hAnsi="Arial" w:cs="Arial" w:hint="eastAsia"/>
          <w:b/>
          <w:bCs/>
          <w:sz w:val="24"/>
          <w:lang w:val="en-US" w:eastAsia="ja-JP"/>
        </w:rPr>
        <w:tab/>
      </w:r>
      <w:r w:rsidR="003B56B3">
        <w:rPr>
          <w:rFonts w:ascii="Arial" w:eastAsiaTheme="minorEastAsia" w:hAnsi="Arial" w:cs="Arial"/>
          <w:b/>
          <w:bCs/>
          <w:sz w:val="24"/>
          <w:lang w:val="en-US" w:eastAsia="ja-JP"/>
        </w:rPr>
        <w:tab/>
      </w:r>
      <w:r w:rsidRPr="003C3E73">
        <w:rPr>
          <w:rFonts w:ascii="Arial" w:hAnsi="Arial" w:cs="Arial" w:hint="eastAsia"/>
          <w:b/>
          <w:bCs/>
          <w:sz w:val="24"/>
          <w:lang w:val="en-US"/>
        </w:rPr>
        <w:t>Fujitsu</w:t>
      </w:r>
    </w:p>
    <w:p w14:paraId="5A74F2DE" w14:textId="5C41E703" w:rsidR="004C6C01" w:rsidRPr="003C3E73" w:rsidRDefault="004C6C01" w:rsidP="003B56B3">
      <w:pPr>
        <w:pStyle w:val="Header"/>
        <w:widowControl w:val="0"/>
        <w:tabs>
          <w:tab w:val="clear" w:pos="4536"/>
          <w:tab w:val="clear" w:pos="9072"/>
        </w:tabs>
        <w:ind w:right="-57"/>
        <w:rPr>
          <w:rFonts w:ascii="Arial" w:eastAsia="MS Mincho" w:hAnsi="Arial" w:cs="Arial"/>
          <w:b/>
          <w:bCs/>
          <w:sz w:val="24"/>
          <w:lang w:val="en-US" w:eastAsia="ja-JP"/>
        </w:rPr>
      </w:pPr>
      <w:r w:rsidRPr="003C3E73">
        <w:rPr>
          <w:rFonts w:ascii="Arial" w:hAnsi="Arial" w:cs="Arial"/>
          <w:b/>
          <w:bCs/>
          <w:sz w:val="24"/>
          <w:lang w:val="en-US"/>
        </w:rPr>
        <w:t>Title:</w:t>
      </w:r>
      <w:r w:rsidR="003B56B3">
        <w:rPr>
          <w:rFonts w:ascii="Arial" w:eastAsiaTheme="minorEastAsia" w:hAnsi="Arial" w:cs="Arial"/>
          <w:b/>
          <w:bCs/>
          <w:sz w:val="24"/>
          <w:lang w:val="en-US" w:eastAsia="ja-JP"/>
        </w:rPr>
        <w:tab/>
      </w:r>
      <w:r w:rsidR="003B56B3">
        <w:rPr>
          <w:rFonts w:ascii="Arial" w:eastAsiaTheme="minorEastAsia" w:hAnsi="Arial" w:cs="Arial"/>
          <w:b/>
          <w:bCs/>
          <w:sz w:val="24"/>
          <w:lang w:val="en-US" w:eastAsia="ja-JP"/>
        </w:rPr>
        <w:tab/>
      </w:r>
      <w:r w:rsidR="00AF2DC1">
        <w:rPr>
          <w:rFonts w:ascii="Arial" w:eastAsiaTheme="minorEastAsia" w:hAnsi="Arial" w:cs="Arial"/>
          <w:b/>
          <w:bCs/>
          <w:sz w:val="24"/>
          <w:lang w:val="en-US" w:eastAsia="ja-JP"/>
        </w:rPr>
        <w:t xml:space="preserve">Discussion on beam indication </w:t>
      </w:r>
    </w:p>
    <w:p w14:paraId="0C87A832" w14:textId="3ED60950" w:rsidR="004C6C01" w:rsidRPr="004C6C01" w:rsidRDefault="004C6C01" w:rsidP="003B56B3">
      <w:pPr>
        <w:widowControl w:val="0"/>
        <w:pBdr>
          <w:bottom w:val="single" w:sz="12" w:space="1" w:color="auto"/>
        </w:pBdr>
        <w:autoSpaceDE w:val="0"/>
        <w:autoSpaceDN w:val="0"/>
        <w:jc w:val="both"/>
        <w:rPr>
          <w:rFonts w:asciiTheme="majorHAnsi" w:hAnsiTheme="majorHAnsi" w:cstheme="majorHAnsi"/>
          <w:snapToGrid w:val="0"/>
          <w:kern w:val="2"/>
          <w:sz w:val="24"/>
          <w:lang w:val="en-US" w:eastAsia="ko-KR"/>
        </w:rPr>
      </w:pPr>
      <w:r w:rsidRPr="003C3E73">
        <w:rPr>
          <w:rFonts w:ascii="Arial" w:hAnsi="Arial" w:cs="Arial"/>
          <w:b/>
          <w:snapToGrid w:val="0"/>
          <w:kern w:val="2"/>
          <w:sz w:val="24"/>
          <w:lang w:val="en-US" w:eastAsia="ko-KR"/>
        </w:rPr>
        <w:t>Document for:</w:t>
      </w:r>
      <w:r w:rsidRPr="003C3E73">
        <w:rPr>
          <w:rFonts w:ascii="Arial" w:hAnsi="Arial" w:cs="Arial"/>
          <w:snapToGrid w:val="0"/>
          <w:kern w:val="2"/>
          <w:sz w:val="24"/>
          <w:lang w:val="en-US" w:eastAsia="ko-KR"/>
        </w:rPr>
        <w:tab/>
      </w:r>
      <w:r w:rsidRPr="003C3E73">
        <w:rPr>
          <w:rFonts w:asciiTheme="majorHAnsi" w:hAnsiTheme="majorHAnsi" w:cstheme="majorHAnsi"/>
          <w:b/>
          <w:snapToGrid w:val="0"/>
          <w:kern w:val="2"/>
          <w:sz w:val="24"/>
          <w:lang w:val="en-US" w:eastAsia="ko-KR"/>
        </w:rPr>
        <w:t>Discussion</w:t>
      </w:r>
      <w:r w:rsidRPr="003C3E73">
        <w:rPr>
          <w:rFonts w:asciiTheme="majorHAnsi" w:eastAsiaTheme="minorEastAsia" w:hAnsiTheme="majorHAnsi" w:cstheme="majorHAnsi"/>
          <w:b/>
          <w:snapToGrid w:val="0"/>
          <w:kern w:val="2"/>
          <w:sz w:val="24"/>
          <w:lang w:val="en-US" w:eastAsia="ja-JP"/>
        </w:rPr>
        <w:t xml:space="preserve"> and </w:t>
      </w:r>
      <w:r w:rsidRPr="003C3E73">
        <w:rPr>
          <w:rFonts w:asciiTheme="majorHAnsi" w:hAnsiTheme="majorHAnsi" w:cstheme="majorHAnsi"/>
          <w:b/>
          <w:snapToGrid w:val="0"/>
          <w:kern w:val="2"/>
          <w:sz w:val="24"/>
          <w:lang w:val="en-US" w:eastAsia="ko-KR"/>
        </w:rPr>
        <w:t>Decision</w:t>
      </w:r>
    </w:p>
    <w:p w14:paraId="7407F67A" w14:textId="71154003" w:rsidR="00DD341B" w:rsidRDefault="00DD341B" w:rsidP="00E20D45">
      <w:pPr>
        <w:pStyle w:val="Heading1"/>
        <w:keepNext w:val="0"/>
        <w:widowControl w:val="0"/>
        <w:numPr>
          <w:ilvl w:val="0"/>
          <w:numId w:val="6"/>
        </w:numPr>
        <w:jc w:val="both"/>
      </w:pPr>
      <w:r>
        <w:t>Introduction</w:t>
      </w:r>
    </w:p>
    <w:p w14:paraId="3552B201" w14:textId="25D8BAFC" w:rsidR="00416A9D" w:rsidRDefault="00207E03" w:rsidP="006A5D18">
      <w:pPr>
        <w:pStyle w:val="LGTdoc1"/>
        <w:spacing w:beforeLines="0" w:before="120" w:after="120" w:afterAutospacing="0"/>
        <w:rPr>
          <w:b w:val="0"/>
          <w:sz w:val="22"/>
          <w:szCs w:val="22"/>
          <w:lang w:val="en-US"/>
        </w:rPr>
      </w:pPr>
      <w:r w:rsidRPr="006A5D18">
        <w:rPr>
          <w:b w:val="0"/>
          <w:sz w:val="22"/>
          <w:szCs w:val="22"/>
          <w:lang w:val="en-US"/>
        </w:rPr>
        <w:t xml:space="preserve">In </w:t>
      </w:r>
      <w:r w:rsidR="00AF2DC1">
        <w:rPr>
          <w:rFonts w:eastAsia="SimSun"/>
          <w:b w:val="0"/>
          <w:sz w:val="22"/>
          <w:szCs w:val="22"/>
          <w:lang w:val="en-US" w:eastAsia="zh-CN"/>
        </w:rPr>
        <w:t>RAN1#90 and NR Adhoc#3</w:t>
      </w:r>
      <w:r w:rsidR="00D35270">
        <w:rPr>
          <w:b w:val="0"/>
          <w:sz w:val="22"/>
          <w:szCs w:val="22"/>
          <w:lang w:val="en-US"/>
        </w:rPr>
        <w:t xml:space="preserve"> </w:t>
      </w:r>
      <w:r w:rsidR="000E6ECB" w:rsidRPr="006A5D18">
        <w:rPr>
          <w:rFonts w:hint="eastAsia"/>
          <w:b w:val="0"/>
          <w:sz w:val="22"/>
          <w:szCs w:val="22"/>
          <w:lang w:val="en-US"/>
        </w:rPr>
        <w:t>meeting</w:t>
      </w:r>
      <w:r w:rsidRPr="006A5D18">
        <w:rPr>
          <w:b w:val="0"/>
          <w:sz w:val="22"/>
          <w:szCs w:val="22"/>
          <w:lang w:val="en-US"/>
        </w:rPr>
        <w:t xml:space="preserve">, the following agreements </w:t>
      </w:r>
      <w:r w:rsidR="000E6ECB" w:rsidRPr="006A5D18">
        <w:rPr>
          <w:b w:val="0"/>
          <w:sz w:val="22"/>
          <w:szCs w:val="22"/>
          <w:lang w:val="en-US"/>
        </w:rPr>
        <w:t>related to</w:t>
      </w:r>
      <w:r w:rsidR="000462A7" w:rsidRPr="006A5D18">
        <w:rPr>
          <w:b w:val="0"/>
          <w:sz w:val="22"/>
          <w:szCs w:val="22"/>
          <w:lang w:val="en-US"/>
        </w:rPr>
        <w:t xml:space="preserve"> </w:t>
      </w:r>
      <w:r w:rsidR="003A2C3B">
        <w:rPr>
          <w:b w:val="0"/>
          <w:sz w:val="22"/>
          <w:szCs w:val="22"/>
          <w:lang w:val="en-US"/>
        </w:rPr>
        <w:t xml:space="preserve">beam </w:t>
      </w:r>
      <w:r w:rsidR="00AF2DC1">
        <w:rPr>
          <w:b w:val="0"/>
          <w:sz w:val="22"/>
          <w:szCs w:val="22"/>
          <w:lang w:val="en-US"/>
        </w:rPr>
        <w:t>indication</w:t>
      </w:r>
      <w:r w:rsidR="00261115">
        <w:rPr>
          <w:b w:val="0"/>
          <w:sz w:val="22"/>
          <w:szCs w:val="22"/>
          <w:lang w:val="en-US"/>
        </w:rPr>
        <w:t xml:space="preserve"> </w:t>
      </w:r>
      <w:r w:rsidR="00751F35">
        <w:rPr>
          <w:b w:val="0"/>
          <w:sz w:val="22"/>
          <w:szCs w:val="22"/>
          <w:lang w:val="en-US"/>
        </w:rPr>
        <w:t xml:space="preserve">were </w:t>
      </w:r>
      <w:r w:rsidR="003A2C3B">
        <w:rPr>
          <w:b w:val="0"/>
          <w:sz w:val="22"/>
          <w:szCs w:val="22"/>
          <w:lang w:val="en-US"/>
        </w:rPr>
        <w:t>achieved</w:t>
      </w:r>
      <w:r w:rsidR="0005472B">
        <w:rPr>
          <w:b w:val="0"/>
          <w:sz w:val="22"/>
          <w:szCs w:val="22"/>
          <w:lang w:val="en-US"/>
        </w:rPr>
        <w:t xml:space="preserve"> [1</w:t>
      </w:r>
      <w:r w:rsidR="001C65E0">
        <w:rPr>
          <w:b w:val="0"/>
          <w:sz w:val="22"/>
          <w:szCs w:val="22"/>
          <w:lang w:val="en-US"/>
        </w:rPr>
        <w:t>-2</w:t>
      </w:r>
      <w:r w:rsidR="0005472B">
        <w:rPr>
          <w:b w:val="0"/>
          <w:sz w:val="22"/>
          <w:szCs w:val="22"/>
          <w:lang w:val="en-US"/>
        </w:rPr>
        <w:t>]</w:t>
      </w:r>
      <w:r w:rsidRPr="006A5D18">
        <w:rPr>
          <w:b w:val="0"/>
          <w:sz w:val="22"/>
          <w:szCs w:val="22"/>
          <w:lang w:val="en-US"/>
        </w:rPr>
        <w:t>:</w:t>
      </w:r>
    </w:p>
    <w:p w14:paraId="71196256" w14:textId="77777777" w:rsidR="00CC3CB3" w:rsidRPr="00080193" w:rsidRDefault="00CC3CB3" w:rsidP="00CC3CB3">
      <w:pPr>
        <w:spacing w:line="259" w:lineRule="auto"/>
        <w:rPr>
          <w:rFonts w:eastAsia="MS Mincho"/>
          <w:b/>
          <w:szCs w:val="20"/>
          <w:u w:val="single"/>
          <w:lang w:eastAsia="ja-JP"/>
        </w:rPr>
      </w:pPr>
      <w:r w:rsidRPr="00080193">
        <w:rPr>
          <w:rFonts w:eastAsia="MS Mincho" w:hint="eastAsia"/>
          <w:b/>
          <w:szCs w:val="20"/>
          <w:highlight w:val="green"/>
          <w:u w:val="single"/>
          <w:lang w:eastAsia="ja-JP"/>
        </w:rPr>
        <w:t>Agreements:</w:t>
      </w:r>
    </w:p>
    <w:p w14:paraId="75DE5EB9" w14:textId="77777777" w:rsidR="00CC3CB3" w:rsidRPr="00746A24" w:rsidRDefault="00CC3CB3" w:rsidP="00CC3CB3">
      <w:pPr>
        <w:numPr>
          <w:ilvl w:val="0"/>
          <w:numId w:val="43"/>
        </w:numPr>
        <w:spacing w:line="240" w:lineRule="exact"/>
        <w:ind w:hanging="357"/>
        <w:rPr>
          <w:szCs w:val="20"/>
        </w:rPr>
      </w:pPr>
      <w:bookmarkStart w:id="1" w:name="OLE_LINK2"/>
      <w:bookmarkStart w:id="2" w:name="OLE_LINK3"/>
      <w:bookmarkStart w:id="3" w:name="OLE_LINK4"/>
      <w:r w:rsidRPr="00746A24">
        <w:rPr>
          <w:szCs w:val="20"/>
        </w:rPr>
        <w:t>For the purposes of beam indication for at least NR unicast PDSCH, support an N-bit indicator field in DCI which provides a reference to a DL RS which is spatially QCL’d with at least one PDSCH DMRS port group</w:t>
      </w:r>
    </w:p>
    <w:p w14:paraId="6EE4C52F" w14:textId="77777777" w:rsidR="00CC3CB3" w:rsidRPr="00746A24" w:rsidRDefault="00CC3CB3" w:rsidP="00CC3CB3">
      <w:pPr>
        <w:numPr>
          <w:ilvl w:val="1"/>
          <w:numId w:val="43"/>
        </w:numPr>
        <w:spacing w:line="240" w:lineRule="exact"/>
        <w:ind w:hanging="357"/>
        <w:rPr>
          <w:szCs w:val="20"/>
        </w:rPr>
      </w:pPr>
      <w:r w:rsidRPr="00746A24">
        <w:rPr>
          <w:szCs w:val="20"/>
        </w:rPr>
        <w:t xml:space="preserve">An indicator state is associated with at least one index of a DL RS (e.g., CRI, SSB Index) where each index of downlink RS can be associated with a given DL RS type,  e.g., aperiodic CSI-RS, periodic CSI-RS, semi-persistent CSI-RS, or SSB, </w:t>
      </w:r>
    </w:p>
    <w:p w14:paraId="596D7E27" w14:textId="77777777" w:rsidR="00CC3CB3" w:rsidRPr="00746A24" w:rsidRDefault="00CC3CB3" w:rsidP="00CC3CB3">
      <w:pPr>
        <w:numPr>
          <w:ilvl w:val="2"/>
          <w:numId w:val="43"/>
        </w:numPr>
        <w:spacing w:line="240" w:lineRule="exact"/>
        <w:ind w:hanging="357"/>
        <w:rPr>
          <w:szCs w:val="20"/>
        </w:rPr>
      </w:pPr>
      <w:r w:rsidRPr="00746A24">
        <w:rPr>
          <w:szCs w:val="20"/>
        </w:rPr>
        <w:t>Note: L1-RSRP reporting on SSB is not yet agreed</w:t>
      </w:r>
    </w:p>
    <w:p w14:paraId="588D9587" w14:textId="77777777" w:rsidR="00CC3CB3" w:rsidRPr="00746A24" w:rsidRDefault="00CC3CB3" w:rsidP="00CC3CB3">
      <w:pPr>
        <w:numPr>
          <w:ilvl w:val="2"/>
          <w:numId w:val="43"/>
        </w:numPr>
        <w:spacing w:line="240" w:lineRule="exact"/>
        <w:ind w:hanging="357"/>
        <w:rPr>
          <w:szCs w:val="20"/>
        </w:rPr>
      </w:pPr>
      <w:r w:rsidRPr="00746A24">
        <w:rPr>
          <w:szCs w:val="20"/>
        </w:rPr>
        <w:t>Note: One possibility to determine DL CSI-RS type is through the resource setting ID, other options are not precluded</w:t>
      </w:r>
    </w:p>
    <w:p w14:paraId="4AAE4372" w14:textId="77777777" w:rsidR="00CC3CB3" w:rsidRPr="00746A24" w:rsidRDefault="00CC3CB3" w:rsidP="00CC3CB3">
      <w:pPr>
        <w:numPr>
          <w:ilvl w:val="1"/>
          <w:numId w:val="43"/>
        </w:numPr>
        <w:spacing w:line="240" w:lineRule="exact"/>
        <w:ind w:hanging="357"/>
        <w:rPr>
          <w:szCs w:val="20"/>
        </w:rPr>
      </w:pPr>
      <w:r w:rsidRPr="00746A24">
        <w:rPr>
          <w:szCs w:val="20"/>
        </w:rPr>
        <w:t>The value of N is FFS, but is at most [3] bits</w:t>
      </w:r>
    </w:p>
    <w:p w14:paraId="1A5E395E" w14:textId="77777777" w:rsidR="00CC3CB3" w:rsidRPr="00746A24" w:rsidRDefault="00CC3CB3" w:rsidP="00CC3CB3">
      <w:pPr>
        <w:numPr>
          <w:ilvl w:val="1"/>
          <w:numId w:val="43"/>
        </w:numPr>
        <w:spacing w:line="240" w:lineRule="exact"/>
        <w:ind w:hanging="357"/>
        <w:rPr>
          <w:szCs w:val="20"/>
        </w:rPr>
      </w:pPr>
      <w:r w:rsidRPr="00746A24">
        <w:rPr>
          <w:szCs w:val="20"/>
        </w:rPr>
        <w:t>FFS: The case of more than one DMRS port group</w:t>
      </w:r>
    </w:p>
    <w:p w14:paraId="2BCB9388" w14:textId="77777777" w:rsidR="00CC3CB3" w:rsidRPr="00746A24" w:rsidRDefault="00CC3CB3" w:rsidP="00CC3CB3">
      <w:pPr>
        <w:numPr>
          <w:ilvl w:val="1"/>
          <w:numId w:val="43"/>
        </w:numPr>
        <w:spacing w:line="240" w:lineRule="exact"/>
        <w:ind w:hanging="357"/>
        <w:rPr>
          <w:szCs w:val="20"/>
        </w:rPr>
      </w:pPr>
      <w:r w:rsidRPr="00746A24">
        <w:rPr>
          <w:szCs w:val="20"/>
        </w:rPr>
        <w:t xml:space="preserve">FFS: Whether or not to indicate more than one beam indicator, NR strive to minimize the indicator overhead </w:t>
      </w:r>
    </w:p>
    <w:p w14:paraId="3BE78DB7" w14:textId="77777777" w:rsidR="00CC3CB3" w:rsidRPr="00746A24" w:rsidRDefault="00CC3CB3" w:rsidP="00CC3CB3">
      <w:pPr>
        <w:numPr>
          <w:ilvl w:val="0"/>
          <w:numId w:val="43"/>
        </w:numPr>
        <w:spacing w:line="240" w:lineRule="exact"/>
        <w:ind w:hanging="357"/>
        <w:rPr>
          <w:szCs w:val="20"/>
        </w:rPr>
      </w:pPr>
      <w:r w:rsidRPr="00746A24">
        <w:rPr>
          <w:szCs w:val="20"/>
        </w:rPr>
        <w:t xml:space="preserve">FFS: Signalling mechanism for the association of a DL RS index (e.g., CRI, SSB index) to an indicator state, e.g., </w:t>
      </w:r>
    </w:p>
    <w:p w14:paraId="3D347FFF" w14:textId="77777777" w:rsidR="00CC3CB3" w:rsidRPr="00746A24" w:rsidRDefault="00CC3CB3" w:rsidP="00CC3CB3">
      <w:pPr>
        <w:numPr>
          <w:ilvl w:val="1"/>
          <w:numId w:val="43"/>
        </w:numPr>
        <w:spacing w:line="240" w:lineRule="exact"/>
        <w:ind w:hanging="357"/>
        <w:rPr>
          <w:szCs w:val="20"/>
        </w:rPr>
      </w:pPr>
      <w:r w:rsidRPr="00746A24">
        <w:rPr>
          <w:szCs w:val="20"/>
        </w:rPr>
        <w:t>The association is explicitly signaled to the UE</w:t>
      </w:r>
    </w:p>
    <w:p w14:paraId="221F1D4D" w14:textId="77777777" w:rsidR="00CC3CB3" w:rsidRPr="00746A24" w:rsidRDefault="00CC3CB3" w:rsidP="00CC3CB3">
      <w:pPr>
        <w:numPr>
          <w:ilvl w:val="1"/>
          <w:numId w:val="43"/>
        </w:numPr>
        <w:spacing w:line="240" w:lineRule="exact"/>
        <w:ind w:hanging="357"/>
        <w:rPr>
          <w:szCs w:val="20"/>
        </w:rPr>
      </w:pPr>
      <w:r w:rsidRPr="00746A24">
        <w:rPr>
          <w:szCs w:val="20"/>
        </w:rPr>
        <w:t>The association is implicitly determined by the UE</w:t>
      </w:r>
    </w:p>
    <w:p w14:paraId="1EB3C746" w14:textId="77777777" w:rsidR="00CC3CB3" w:rsidRPr="00746A24" w:rsidRDefault="00CC3CB3" w:rsidP="00CC3CB3">
      <w:pPr>
        <w:numPr>
          <w:ilvl w:val="1"/>
          <w:numId w:val="43"/>
        </w:numPr>
        <w:spacing w:line="240" w:lineRule="exact"/>
        <w:ind w:hanging="357"/>
        <w:rPr>
          <w:szCs w:val="20"/>
        </w:rPr>
      </w:pPr>
      <w:r w:rsidRPr="00746A24">
        <w:rPr>
          <w:szCs w:val="20"/>
        </w:rPr>
        <w:t>Combination of the above is not precluded</w:t>
      </w:r>
    </w:p>
    <w:p w14:paraId="71F09A06" w14:textId="77777777" w:rsidR="00CC3CB3" w:rsidRPr="00746A24" w:rsidRDefault="00CC3CB3" w:rsidP="00CC3CB3">
      <w:pPr>
        <w:numPr>
          <w:ilvl w:val="0"/>
          <w:numId w:val="43"/>
        </w:numPr>
        <w:spacing w:line="240" w:lineRule="exact"/>
        <w:ind w:hanging="357"/>
        <w:rPr>
          <w:szCs w:val="20"/>
        </w:rPr>
      </w:pPr>
      <w:r w:rsidRPr="00746A24">
        <w:rPr>
          <w:szCs w:val="20"/>
        </w:rPr>
        <w:t>FFS: An indicator state may or may not also include other parameter(s), e.g., for PDSCH to RE mapping purposes analogous to PQI in LTE, other QCL parameters</w:t>
      </w:r>
    </w:p>
    <w:p w14:paraId="3651D0F7" w14:textId="77777777" w:rsidR="00CC3CB3" w:rsidRPr="00746A24" w:rsidRDefault="00CC3CB3" w:rsidP="00CC3CB3">
      <w:pPr>
        <w:numPr>
          <w:ilvl w:val="0"/>
          <w:numId w:val="43"/>
        </w:numPr>
        <w:spacing w:line="240" w:lineRule="exact"/>
        <w:ind w:hanging="357"/>
        <w:rPr>
          <w:szCs w:val="20"/>
        </w:rPr>
      </w:pPr>
      <w:r w:rsidRPr="00746A24">
        <w:rPr>
          <w:szCs w:val="20"/>
        </w:rPr>
        <w:t>FFS: Whether or not an indicator state may be associated with more than one DL RS index</w:t>
      </w:r>
    </w:p>
    <w:p w14:paraId="7BCA6613" w14:textId="77777777" w:rsidR="00CC3CB3" w:rsidRPr="00746A24" w:rsidRDefault="00CC3CB3" w:rsidP="00CC3CB3">
      <w:pPr>
        <w:numPr>
          <w:ilvl w:val="0"/>
          <w:numId w:val="43"/>
        </w:numPr>
        <w:spacing w:line="240" w:lineRule="exact"/>
        <w:ind w:hanging="357"/>
        <w:rPr>
          <w:szCs w:val="20"/>
        </w:rPr>
      </w:pPr>
      <w:r w:rsidRPr="00746A24">
        <w:rPr>
          <w:szCs w:val="20"/>
        </w:rPr>
        <w:t>FFS: PDCCH beam indication may or may not be based on the beam indication states for PDSCH</w:t>
      </w:r>
    </w:p>
    <w:bookmarkEnd w:id="1"/>
    <w:bookmarkEnd w:id="2"/>
    <w:bookmarkEnd w:id="3"/>
    <w:p w14:paraId="7C5EB4E1" w14:textId="77777777" w:rsidR="00080CF6" w:rsidRDefault="00080CF6" w:rsidP="00261115">
      <w:pPr>
        <w:spacing w:line="259" w:lineRule="auto"/>
        <w:rPr>
          <w:rFonts w:eastAsia="MS Mincho"/>
          <w:b/>
          <w:szCs w:val="20"/>
          <w:highlight w:val="green"/>
          <w:u w:val="single"/>
          <w:lang w:eastAsia="ja-JP"/>
        </w:rPr>
      </w:pPr>
    </w:p>
    <w:p w14:paraId="72B2FEC6" w14:textId="77777777" w:rsidR="00AF2DC1" w:rsidRPr="00261115" w:rsidRDefault="00AF2DC1" w:rsidP="00261115">
      <w:pPr>
        <w:spacing w:line="259" w:lineRule="auto"/>
        <w:rPr>
          <w:rFonts w:eastAsia="MS Mincho"/>
          <w:b/>
          <w:szCs w:val="20"/>
          <w:highlight w:val="green"/>
          <w:u w:val="single"/>
          <w:lang w:eastAsia="ja-JP"/>
        </w:rPr>
      </w:pPr>
      <w:bookmarkStart w:id="4" w:name="_GoBack"/>
      <w:bookmarkEnd w:id="4"/>
      <w:r w:rsidRPr="00261115">
        <w:rPr>
          <w:rFonts w:eastAsia="MS Mincho"/>
          <w:b/>
          <w:szCs w:val="20"/>
          <w:highlight w:val="green"/>
          <w:u w:val="single"/>
          <w:lang w:eastAsia="ja-JP"/>
        </w:rPr>
        <w:t>Agreements:</w:t>
      </w:r>
    </w:p>
    <w:p w14:paraId="2DAE2D80" w14:textId="77777777" w:rsidR="00E9586C" w:rsidRPr="00D51775" w:rsidRDefault="00E9586C" w:rsidP="00E9586C">
      <w:pPr>
        <w:numPr>
          <w:ilvl w:val="0"/>
          <w:numId w:val="41"/>
        </w:numPr>
        <w:spacing w:line="240" w:lineRule="exact"/>
        <w:ind w:hanging="357"/>
      </w:pPr>
      <w:r w:rsidRPr="00D51775">
        <w:t>Support the QCL indication of DM-RS for PDSCH via DCI signaling:</w:t>
      </w:r>
    </w:p>
    <w:p w14:paraId="0E145581" w14:textId="77777777" w:rsidR="00E9586C" w:rsidRPr="00D51775" w:rsidRDefault="00E9586C" w:rsidP="00E9586C">
      <w:pPr>
        <w:numPr>
          <w:ilvl w:val="1"/>
          <w:numId w:val="41"/>
        </w:numPr>
        <w:spacing w:line="240" w:lineRule="exact"/>
        <w:ind w:hanging="357"/>
      </w:pPr>
      <w:r w:rsidRPr="00D51775">
        <w:t>The N-bit indicator field in the agreed WF R1-1714885 is extended to support:</w:t>
      </w:r>
    </w:p>
    <w:p w14:paraId="3D20ECB6" w14:textId="77777777" w:rsidR="00E9586C" w:rsidRPr="00D51775" w:rsidRDefault="00E9586C" w:rsidP="00E9586C">
      <w:pPr>
        <w:numPr>
          <w:ilvl w:val="2"/>
          <w:numId w:val="41"/>
        </w:numPr>
        <w:spacing w:line="240" w:lineRule="exact"/>
        <w:ind w:hanging="357"/>
      </w:pPr>
      <w:r w:rsidRPr="00D51775">
        <w:t>Each state refers to one or two RS sets, which indicates a QCL relationship for one or two DMRS port group (s), respectively</w:t>
      </w:r>
    </w:p>
    <w:p w14:paraId="3325DA75" w14:textId="77777777" w:rsidR="00E9586C" w:rsidRPr="00D51775" w:rsidRDefault="00E9586C" w:rsidP="00E9586C">
      <w:pPr>
        <w:numPr>
          <w:ilvl w:val="3"/>
          <w:numId w:val="41"/>
        </w:numPr>
        <w:spacing w:line="240" w:lineRule="exact"/>
        <w:ind w:hanging="357"/>
      </w:pPr>
      <w:r w:rsidRPr="00D51775">
        <w:t>Each RS set refers to one or more RS(s) which are QCLed with DM-RS ports within corresponding DM-RS group</w:t>
      </w:r>
    </w:p>
    <w:p w14:paraId="4E3A9A43" w14:textId="77777777" w:rsidR="00E9586C" w:rsidRPr="00D51775" w:rsidRDefault="00E9586C" w:rsidP="00E9586C">
      <w:pPr>
        <w:numPr>
          <w:ilvl w:val="3"/>
          <w:numId w:val="41"/>
        </w:numPr>
        <w:spacing w:line="240" w:lineRule="exact"/>
        <w:ind w:hanging="357"/>
      </w:pPr>
      <w:r w:rsidRPr="00D51775">
        <w:t xml:space="preserve">Note: The </w:t>
      </w:r>
      <w:r w:rsidRPr="00CC3CB3">
        <w:t>RSs within a RS set</w:t>
      </w:r>
      <w:r w:rsidRPr="00D51775">
        <w:t xml:space="preserve"> may be of different types</w:t>
      </w:r>
    </w:p>
    <w:p w14:paraId="393CDB6D" w14:textId="77777777" w:rsidR="00E9586C" w:rsidRPr="00D51775" w:rsidRDefault="00E9586C" w:rsidP="00E9586C">
      <w:pPr>
        <w:numPr>
          <w:ilvl w:val="3"/>
          <w:numId w:val="41"/>
        </w:numPr>
        <w:spacing w:line="240" w:lineRule="exact"/>
        <w:ind w:hanging="357"/>
      </w:pPr>
      <w:r w:rsidRPr="00D51775">
        <w:t>If there are more than one RS per RS set, each of them may be associated with different QCL parameters, e.g. one RS may be associated with spatial QCL while another RS may be associated with other QCL parameters, etc</w:t>
      </w:r>
    </w:p>
    <w:p w14:paraId="6EBAAB54" w14:textId="77777777" w:rsidR="00E9586C" w:rsidRPr="00D51775" w:rsidRDefault="00E9586C" w:rsidP="00E9586C">
      <w:pPr>
        <w:numPr>
          <w:ilvl w:val="3"/>
          <w:numId w:val="41"/>
        </w:numPr>
        <w:spacing w:line="240" w:lineRule="exact"/>
        <w:ind w:hanging="357"/>
      </w:pPr>
      <w:r w:rsidRPr="00D51775">
        <w:t>Configuration of RS set for each state can be done via higher layer signaling</w:t>
      </w:r>
    </w:p>
    <w:p w14:paraId="0A4BA157" w14:textId="77777777" w:rsidR="00E9586C" w:rsidRPr="00D51775" w:rsidRDefault="00E9586C" w:rsidP="00E9586C">
      <w:pPr>
        <w:numPr>
          <w:ilvl w:val="4"/>
          <w:numId w:val="41"/>
        </w:numPr>
        <w:spacing w:line="240" w:lineRule="exact"/>
        <w:ind w:hanging="357"/>
      </w:pPr>
      <w:r w:rsidRPr="00D51775">
        <w:t>E.g., RRC/RRC + MAC CE</w:t>
      </w:r>
    </w:p>
    <w:p w14:paraId="127948C5" w14:textId="77777777" w:rsidR="00E9586C" w:rsidRPr="00D51775" w:rsidRDefault="00E9586C" w:rsidP="00E9586C">
      <w:pPr>
        <w:numPr>
          <w:ilvl w:val="1"/>
          <w:numId w:val="41"/>
        </w:numPr>
        <w:spacing w:line="240" w:lineRule="exact"/>
        <w:ind w:hanging="357"/>
      </w:pPr>
      <w:r w:rsidRPr="00D51775">
        <w:t>FFS the timing when the QCL is applied relative to the time of the QCL indication</w:t>
      </w:r>
    </w:p>
    <w:p w14:paraId="41D53570" w14:textId="77777777" w:rsidR="00CC3CB3" w:rsidRPr="00261115" w:rsidRDefault="00CC3CB3" w:rsidP="00261115">
      <w:pPr>
        <w:spacing w:line="259" w:lineRule="auto"/>
        <w:rPr>
          <w:rFonts w:eastAsia="MS Mincho"/>
          <w:b/>
          <w:szCs w:val="20"/>
          <w:highlight w:val="green"/>
          <w:u w:val="single"/>
          <w:lang w:eastAsia="ja-JP"/>
        </w:rPr>
      </w:pPr>
      <w:r w:rsidRPr="00261115">
        <w:rPr>
          <w:rFonts w:eastAsia="MS Mincho"/>
          <w:b/>
          <w:szCs w:val="20"/>
          <w:highlight w:val="green"/>
          <w:u w:val="single"/>
          <w:lang w:eastAsia="ja-JP"/>
        </w:rPr>
        <w:lastRenderedPageBreak/>
        <w:t>Agreements:</w:t>
      </w:r>
    </w:p>
    <w:p w14:paraId="2B6FDDD5" w14:textId="77777777" w:rsidR="00CC3CB3" w:rsidRPr="00AA51AF" w:rsidRDefault="00CC3CB3" w:rsidP="00CC3CB3">
      <w:pPr>
        <w:spacing w:line="240" w:lineRule="exact"/>
        <w:rPr>
          <w:szCs w:val="20"/>
        </w:rPr>
      </w:pPr>
      <w:r w:rsidRPr="00AA51AF">
        <w:rPr>
          <w:szCs w:val="20"/>
        </w:rPr>
        <w:t>A UE is RRC configured with a list of up to M candidate Transmission Configuration Indication (TCI) states at least for the purposes of QCL indication</w:t>
      </w:r>
    </w:p>
    <w:p w14:paraId="7D9E0D8A" w14:textId="77777777" w:rsidR="00CC3CB3" w:rsidRPr="00BD2B69" w:rsidRDefault="00CC3CB3" w:rsidP="00CC3CB3">
      <w:pPr>
        <w:numPr>
          <w:ilvl w:val="0"/>
          <w:numId w:val="39"/>
        </w:numPr>
        <w:spacing w:line="240" w:lineRule="exact"/>
        <w:rPr>
          <w:szCs w:val="20"/>
          <w:lang w:val="en-US" w:eastAsia="x-none"/>
        </w:rPr>
      </w:pPr>
      <w:r w:rsidRPr="00BD2B69">
        <w:rPr>
          <w:szCs w:val="20"/>
          <w:lang w:val="en-US" w:eastAsia="x-none"/>
        </w:rPr>
        <w:t>Whether M equal to or larger than 2</w:t>
      </w:r>
      <w:r w:rsidRPr="00BD2B69">
        <w:rPr>
          <w:szCs w:val="20"/>
          <w:vertAlign w:val="superscript"/>
          <w:lang w:val="en-US" w:eastAsia="x-none"/>
        </w:rPr>
        <w:t>N</w:t>
      </w:r>
      <w:r w:rsidRPr="00BD2B69">
        <w:rPr>
          <w:szCs w:val="20"/>
          <w:lang w:val="en-US" w:eastAsia="x-none"/>
        </w:rPr>
        <w:t xml:space="preserve"> is for further study, where N is the size of the DCI field for PDSCH</w:t>
      </w:r>
    </w:p>
    <w:p w14:paraId="337A6D2E" w14:textId="77777777" w:rsidR="00CC3CB3" w:rsidRPr="00BD2B69" w:rsidRDefault="00CC3CB3" w:rsidP="00CC3CB3">
      <w:pPr>
        <w:numPr>
          <w:ilvl w:val="0"/>
          <w:numId w:val="39"/>
        </w:numPr>
        <w:spacing w:line="240" w:lineRule="exact"/>
        <w:rPr>
          <w:szCs w:val="20"/>
          <w:lang w:val="en-US" w:eastAsia="x-none"/>
        </w:rPr>
      </w:pPr>
      <w:r w:rsidRPr="00BD2B69">
        <w:rPr>
          <w:szCs w:val="20"/>
          <w:lang w:val="en-US" w:eastAsia="x-none"/>
        </w:rPr>
        <w:t>FFS: Mapping between the candidate states to the states described by N bit DCI field for PDSCH</w:t>
      </w:r>
    </w:p>
    <w:p w14:paraId="7ABB55E6" w14:textId="77777777" w:rsidR="00CC3CB3" w:rsidRPr="00BD2B69" w:rsidRDefault="00CC3CB3" w:rsidP="00CC3CB3">
      <w:pPr>
        <w:numPr>
          <w:ilvl w:val="0"/>
          <w:numId w:val="39"/>
        </w:numPr>
        <w:spacing w:line="240" w:lineRule="exact"/>
        <w:rPr>
          <w:szCs w:val="20"/>
          <w:lang w:val="en-US" w:eastAsia="x-none"/>
        </w:rPr>
      </w:pPr>
      <w:r w:rsidRPr="00BD2B69">
        <w:rPr>
          <w:szCs w:val="20"/>
          <w:lang w:val="en-US" w:eastAsia="x-none"/>
        </w:rPr>
        <w:t>Each TCI state can be configured with one RS Set</w:t>
      </w:r>
    </w:p>
    <w:p w14:paraId="7FDB50BC" w14:textId="77777777" w:rsidR="00CC3CB3" w:rsidRPr="00BD2B69" w:rsidRDefault="00CC3CB3" w:rsidP="00CC3CB3">
      <w:pPr>
        <w:numPr>
          <w:ilvl w:val="0"/>
          <w:numId w:val="39"/>
        </w:numPr>
        <w:spacing w:line="240" w:lineRule="exact"/>
        <w:rPr>
          <w:szCs w:val="20"/>
          <w:lang w:val="en-US" w:eastAsia="x-none"/>
        </w:rPr>
      </w:pPr>
      <w:r w:rsidRPr="00BD2B69">
        <w:rPr>
          <w:szCs w:val="20"/>
          <w:lang w:val="en-US" w:eastAsia="x-none"/>
        </w:rPr>
        <w:t>Each ID (FFS: details of ID) of DL RS at least for the purpose of spatial QCL in an RS Set can refer to one of the following DL RS types:</w:t>
      </w:r>
    </w:p>
    <w:p w14:paraId="1BB549FD" w14:textId="77777777" w:rsidR="00CC3CB3" w:rsidRPr="00BD2B69" w:rsidRDefault="00CC3CB3" w:rsidP="00CC3CB3">
      <w:pPr>
        <w:numPr>
          <w:ilvl w:val="1"/>
          <w:numId w:val="40"/>
        </w:numPr>
        <w:tabs>
          <w:tab w:val="left" w:pos="1440"/>
        </w:tabs>
        <w:spacing w:line="240" w:lineRule="exact"/>
        <w:rPr>
          <w:lang w:val="en-US" w:eastAsia="x-none"/>
        </w:rPr>
      </w:pPr>
      <w:r w:rsidRPr="00BD2B69">
        <w:rPr>
          <w:lang w:val="en-US" w:eastAsia="x-none"/>
        </w:rPr>
        <w:t>SSB</w:t>
      </w:r>
    </w:p>
    <w:p w14:paraId="14E434F9" w14:textId="77777777" w:rsidR="00CC3CB3" w:rsidRPr="00BD2B69" w:rsidRDefault="00CC3CB3" w:rsidP="00CC3CB3">
      <w:pPr>
        <w:numPr>
          <w:ilvl w:val="1"/>
          <w:numId w:val="40"/>
        </w:numPr>
        <w:tabs>
          <w:tab w:val="left" w:pos="1440"/>
        </w:tabs>
        <w:spacing w:line="240" w:lineRule="exact"/>
        <w:rPr>
          <w:lang w:val="en-US" w:eastAsia="x-none"/>
        </w:rPr>
      </w:pPr>
      <w:r w:rsidRPr="00BD2B69">
        <w:rPr>
          <w:lang w:val="en-US" w:eastAsia="x-none"/>
        </w:rPr>
        <w:t>Periodic CSI-RS</w:t>
      </w:r>
    </w:p>
    <w:p w14:paraId="11D0E191" w14:textId="77777777" w:rsidR="00CC3CB3" w:rsidRPr="00BD2B69" w:rsidRDefault="00CC3CB3" w:rsidP="00CC3CB3">
      <w:pPr>
        <w:numPr>
          <w:ilvl w:val="1"/>
          <w:numId w:val="40"/>
        </w:numPr>
        <w:tabs>
          <w:tab w:val="left" w:pos="1440"/>
        </w:tabs>
        <w:spacing w:line="240" w:lineRule="exact"/>
        <w:rPr>
          <w:lang w:val="en-US" w:eastAsia="x-none"/>
        </w:rPr>
      </w:pPr>
      <w:r w:rsidRPr="00BD2B69">
        <w:rPr>
          <w:lang w:val="en-US" w:eastAsia="x-none"/>
        </w:rPr>
        <w:t>Aperiodic CSI-RS</w:t>
      </w:r>
    </w:p>
    <w:p w14:paraId="156A387E" w14:textId="77777777" w:rsidR="00CC3CB3" w:rsidRPr="00BD2B69" w:rsidRDefault="00CC3CB3" w:rsidP="00CC3CB3">
      <w:pPr>
        <w:numPr>
          <w:ilvl w:val="1"/>
          <w:numId w:val="40"/>
        </w:numPr>
        <w:tabs>
          <w:tab w:val="left" w:pos="1440"/>
        </w:tabs>
        <w:spacing w:line="240" w:lineRule="exact"/>
        <w:rPr>
          <w:lang w:val="en-US" w:eastAsia="x-none"/>
        </w:rPr>
      </w:pPr>
      <w:r w:rsidRPr="00BD2B69">
        <w:rPr>
          <w:lang w:val="en-US" w:eastAsia="x-none"/>
        </w:rPr>
        <w:t>Semi-persistent CSI-RS</w:t>
      </w:r>
    </w:p>
    <w:p w14:paraId="2705F1D2" w14:textId="77777777" w:rsidR="00CC3CB3" w:rsidRPr="00BD2B69" w:rsidRDefault="00CC3CB3" w:rsidP="00CC3CB3">
      <w:pPr>
        <w:numPr>
          <w:ilvl w:val="0"/>
          <w:numId w:val="39"/>
        </w:numPr>
        <w:spacing w:line="240" w:lineRule="exact"/>
        <w:rPr>
          <w:szCs w:val="20"/>
          <w:lang w:val="en-US" w:eastAsia="x-none"/>
        </w:rPr>
      </w:pPr>
      <w:r w:rsidRPr="00BD2B69">
        <w:rPr>
          <w:szCs w:val="20"/>
          <w:lang w:val="en-US" w:eastAsia="x-none"/>
        </w:rPr>
        <w:t>FFS: Other RS (e.g. TRS, PTRS) in an RS set depending on outcome of discussions in the QCL agenda item</w:t>
      </w:r>
    </w:p>
    <w:p w14:paraId="2A1ADA09" w14:textId="77777777" w:rsidR="00CC3CB3" w:rsidRPr="00E9586C" w:rsidRDefault="00CC3CB3" w:rsidP="00CC3CB3">
      <w:pPr>
        <w:numPr>
          <w:ilvl w:val="0"/>
          <w:numId w:val="39"/>
        </w:numPr>
        <w:spacing w:line="240" w:lineRule="exact"/>
        <w:rPr>
          <w:szCs w:val="20"/>
          <w:lang w:val="en-US" w:eastAsia="x-none"/>
        </w:rPr>
      </w:pPr>
      <w:r w:rsidRPr="00E9586C">
        <w:rPr>
          <w:szCs w:val="20"/>
          <w:lang w:val="en-US" w:eastAsia="x-none"/>
        </w:rPr>
        <w:t>FFS: Mechanisms to initialize/update the ID of a DL RS(s) in the RS Set used at least for spatial QCL purposes</w:t>
      </w:r>
    </w:p>
    <w:p w14:paraId="632B4F74" w14:textId="77777777" w:rsidR="00CC3CB3" w:rsidRPr="00BD2B69" w:rsidRDefault="00CC3CB3" w:rsidP="00CC3CB3">
      <w:pPr>
        <w:numPr>
          <w:ilvl w:val="1"/>
          <w:numId w:val="40"/>
        </w:numPr>
        <w:tabs>
          <w:tab w:val="left" w:pos="1440"/>
        </w:tabs>
        <w:spacing w:line="240" w:lineRule="exact"/>
        <w:rPr>
          <w:lang w:val="en-US" w:eastAsia="x-none"/>
        </w:rPr>
      </w:pPr>
      <w:r w:rsidRPr="00BD2B69">
        <w:rPr>
          <w:lang w:val="en-US" w:eastAsia="x-none"/>
        </w:rPr>
        <w:t>At least the following two mechanisms are FFS: (1) explicit signalling to the UE of the DL RS(s) ID and corresponding TCI state (2) implicit association of the DL RS ID(s) to a TCI state based on measurements by the UE.</w:t>
      </w:r>
    </w:p>
    <w:p w14:paraId="0F93FA39" w14:textId="77777777" w:rsidR="00CC3CB3" w:rsidRPr="00BD2B69" w:rsidRDefault="00CC3CB3" w:rsidP="00CC3CB3">
      <w:pPr>
        <w:numPr>
          <w:ilvl w:val="1"/>
          <w:numId w:val="40"/>
        </w:numPr>
        <w:tabs>
          <w:tab w:val="left" w:pos="1440"/>
        </w:tabs>
        <w:spacing w:line="240" w:lineRule="exact"/>
        <w:rPr>
          <w:lang w:val="en-US" w:eastAsia="x-none"/>
        </w:rPr>
      </w:pPr>
      <w:r w:rsidRPr="00BD2B69">
        <w:rPr>
          <w:lang w:val="en-US" w:eastAsia="x-none"/>
        </w:rPr>
        <w:t>The mechanisms used for different RS types are FFS</w:t>
      </w:r>
    </w:p>
    <w:p w14:paraId="3AF31175" w14:textId="77777777" w:rsidR="00CC3CB3" w:rsidRPr="00BD2B69" w:rsidRDefault="00CC3CB3" w:rsidP="00CC3CB3">
      <w:pPr>
        <w:numPr>
          <w:ilvl w:val="0"/>
          <w:numId w:val="39"/>
        </w:numPr>
        <w:spacing w:line="240" w:lineRule="exact"/>
        <w:rPr>
          <w:szCs w:val="20"/>
          <w:lang w:val="en-US" w:eastAsia="x-none"/>
        </w:rPr>
      </w:pPr>
      <w:r w:rsidRPr="00BD2B69">
        <w:rPr>
          <w:szCs w:val="20"/>
          <w:lang w:val="en-US" w:eastAsia="x-none"/>
        </w:rPr>
        <w:t>FFS: Whether or not a TCI state includes other parameters(s), e.g., for PDSCH rate matching purposes</w:t>
      </w:r>
    </w:p>
    <w:p w14:paraId="19F18A8D" w14:textId="77777777" w:rsidR="00CC3CB3" w:rsidRPr="00BD2B69" w:rsidRDefault="00CC3CB3" w:rsidP="00CC3CB3">
      <w:pPr>
        <w:numPr>
          <w:ilvl w:val="0"/>
          <w:numId w:val="39"/>
        </w:numPr>
        <w:spacing w:line="240" w:lineRule="exact"/>
        <w:rPr>
          <w:szCs w:val="20"/>
          <w:lang w:val="en-US" w:eastAsia="x-none"/>
        </w:rPr>
      </w:pPr>
      <w:r w:rsidRPr="00BD2B69">
        <w:rPr>
          <w:szCs w:val="20"/>
          <w:lang w:val="en-US" w:eastAsia="x-none"/>
        </w:rPr>
        <w:t>FFS: Value of N, where N is at most [3] bits</w:t>
      </w:r>
    </w:p>
    <w:p w14:paraId="625CFCEA" w14:textId="77777777" w:rsidR="00CC3CB3" w:rsidRPr="00AA51AF" w:rsidRDefault="00CC3CB3" w:rsidP="00CC3CB3">
      <w:pPr>
        <w:spacing w:line="240" w:lineRule="exact"/>
        <w:rPr>
          <w:szCs w:val="20"/>
        </w:rPr>
      </w:pPr>
      <w:r w:rsidRPr="00AA51AF">
        <w:rPr>
          <w:szCs w:val="20"/>
        </w:rPr>
        <w:t>Note: More details on specification of more than one DMRS port group and more than one RS Set per TCI state is to be completed after the December release.</w:t>
      </w:r>
    </w:p>
    <w:p w14:paraId="19A12376" w14:textId="6823D6E5" w:rsidR="003A2C3B" w:rsidRDefault="006F44DF" w:rsidP="00E92D87">
      <w:pPr>
        <w:pStyle w:val="LGTdoc1"/>
        <w:spacing w:beforeLines="0" w:before="120" w:after="120" w:afterAutospacing="0"/>
        <w:rPr>
          <w:b w:val="0"/>
          <w:sz w:val="22"/>
          <w:szCs w:val="22"/>
          <w:lang w:val="en-US"/>
        </w:rPr>
      </w:pPr>
      <w:r>
        <w:rPr>
          <w:b w:val="0"/>
          <w:sz w:val="22"/>
          <w:szCs w:val="22"/>
          <w:lang w:val="en-US"/>
        </w:rPr>
        <w:t xml:space="preserve">In this contribution, we share our view on </w:t>
      </w:r>
      <w:r w:rsidR="00AF2DC1">
        <w:rPr>
          <w:b w:val="0"/>
          <w:sz w:val="22"/>
          <w:szCs w:val="22"/>
          <w:lang w:val="en-US"/>
        </w:rPr>
        <w:t>beam indication</w:t>
      </w:r>
      <w:r w:rsidR="004C522A">
        <w:rPr>
          <w:b w:val="0"/>
          <w:sz w:val="22"/>
          <w:szCs w:val="22"/>
          <w:lang w:val="en-US"/>
        </w:rPr>
        <w:t xml:space="preserve">, </w:t>
      </w:r>
      <w:r w:rsidR="00517260" w:rsidRPr="00517260">
        <w:rPr>
          <w:b w:val="0"/>
          <w:sz w:val="22"/>
          <w:szCs w:val="22"/>
          <w:lang w:val="en-US"/>
        </w:rPr>
        <w:t>with focus on</w:t>
      </w:r>
      <w:r w:rsidR="004C522A">
        <w:rPr>
          <w:b w:val="0"/>
          <w:sz w:val="22"/>
          <w:szCs w:val="22"/>
          <w:lang w:val="en-US"/>
        </w:rPr>
        <w:t xml:space="preserve"> </w:t>
      </w:r>
      <w:r w:rsidR="00261115">
        <w:rPr>
          <w:b w:val="0"/>
          <w:sz w:val="22"/>
          <w:szCs w:val="22"/>
          <w:lang w:val="en-US"/>
        </w:rPr>
        <w:t>configuration and update of TCI states with spatial QCL parameters</w:t>
      </w:r>
      <w:r w:rsidR="0074127D">
        <w:rPr>
          <w:b w:val="0"/>
          <w:sz w:val="22"/>
          <w:szCs w:val="22"/>
          <w:lang w:val="en-US"/>
        </w:rPr>
        <w:t>.</w:t>
      </w:r>
    </w:p>
    <w:p w14:paraId="51037EFD" w14:textId="073375FC" w:rsidR="006544DD" w:rsidRDefault="002872CC" w:rsidP="006544DD">
      <w:pPr>
        <w:pStyle w:val="Heading1"/>
        <w:keepNext w:val="0"/>
        <w:widowControl w:val="0"/>
        <w:numPr>
          <w:ilvl w:val="0"/>
          <w:numId w:val="6"/>
        </w:numPr>
        <w:jc w:val="both"/>
      </w:pPr>
      <w:r>
        <w:t>Discussion</w:t>
      </w:r>
    </w:p>
    <w:p w14:paraId="524F79EB" w14:textId="616923AF" w:rsidR="008E5550" w:rsidRPr="008E5550" w:rsidRDefault="006638FE" w:rsidP="000A2D17">
      <w:pPr>
        <w:pStyle w:val="LGTdoc1"/>
        <w:spacing w:beforeLines="0" w:before="120" w:after="120" w:afterAutospacing="0"/>
        <w:rPr>
          <w:rFonts w:eastAsia="SimSun"/>
          <w:b w:val="0"/>
          <w:sz w:val="22"/>
          <w:szCs w:val="22"/>
          <w:lang w:val="en-US" w:eastAsia="zh-CN"/>
        </w:rPr>
      </w:pPr>
      <w:r w:rsidRPr="006638FE">
        <w:rPr>
          <w:rFonts w:hint="eastAsia"/>
          <w:b w:val="0"/>
          <w:sz w:val="22"/>
          <w:szCs w:val="22"/>
          <w:lang w:val="en-US"/>
        </w:rPr>
        <w:t xml:space="preserve">In RAN1 NR Adhoc#3 meeting, </w:t>
      </w:r>
      <w:r w:rsidR="000A2D17">
        <w:rPr>
          <w:b w:val="0"/>
          <w:sz w:val="22"/>
          <w:szCs w:val="22"/>
          <w:lang w:val="en-US"/>
        </w:rPr>
        <w:t xml:space="preserve">it was agreed that a UE can be RRC configured with a list of up to M candidate </w:t>
      </w:r>
      <w:r w:rsidR="000A2D17" w:rsidRPr="000A2D17">
        <w:rPr>
          <w:b w:val="0"/>
          <w:sz w:val="22"/>
          <w:szCs w:val="22"/>
          <w:lang w:val="en-US"/>
        </w:rPr>
        <w:t>Transmission Configuration Indication (TCI) states at least for the purposes of QCL indication</w:t>
      </w:r>
      <w:r w:rsidR="000A2D17">
        <w:rPr>
          <w:b w:val="0"/>
          <w:sz w:val="22"/>
          <w:szCs w:val="22"/>
          <w:lang w:val="en-US"/>
        </w:rPr>
        <w:t xml:space="preserve">. </w:t>
      </w:r>
      <w:r w:rsidR="0058135F">
        <w:rPr>
          <w:b w:val="0"/>
          <w:sz w:val="22"/>
          <w:szCs w:val="22"/>
          <w:lang w:val="en-US"/>
        </w:rPr>
        <w:t>Besides, it has also been agreed that s</w:t>
      </w:r>
      <w:r w:rsidR="0058135F" w:rsidRPr="00E31F90">
        <w:rPr>
          <w:b w:val="0"/>
          <w:sz w:val="22"/>
          <w:szCs w:val="22"/>
          <w:lang w:val="en-US"/>
        </w:rPr>
        <w:t>upport the QCL indication of DM-RS for PDSCH via DCI signaling</w:t>
      </w:r>
      <w:r w:rsidR="0058135F">
        <w:rPr>
          <w:b w:val="0"/>
          <w:sz w:val="22"/>
          <w:szCs w:val="22"/>
          <w:lang w:val="en-US"/>
        </w:rPr>
        <w:t xml:space="preserve"> with </w:t>
      </w:r>
      <w:r w:rsidR="0058135F" w:rsidRPr="00E31F90">
        <w:rPr>
          <w:b w:val="0"/>
          <w:sz w:val="22"/>
          <w:szCs w:val="22"/>
          <w:lang w:val="en-US"/>
        </w:rPr>
        <w:t>N-bit indicator field</w:t>
      </w:r>
      <w:r w:rsidR="0058135F">
        <w:rPr>
          <w:b w:val="0"/>
          <w:sz w:val="22"/>
          <w:szCs w:val="22"/>
          <w:lang w:val="en-US"/>
        </w:rPr>
        <w:t xml:space="preserve">. </w:t>
      </w:r>
      <w:r w:rsidR="0058135F" w:rsidRPr="0058135F">
        <w:rPr>
          <w:b w:val="0"/>
          <w:sz w:val="22"/>
          <w:szCs w:val="22"/>
          <w:lang w:val="en-US"/>
        </w:rPr>
        <w:t>Whether M equal to or larger than 2</w:t>
      </w:r>
      <w:r w:rsidR="0058135F" w:rsidRPr="00396B25">
        <w:rPr>
          <w:b w:val="0"/>
          <w:sz w:val="22"/>
          <w:szCs w:val="22"/>
          <w:vertAlign w:val="superscript"/>
          <w:lang w:val="en-US"/>
        </w:rPr>
        <w:t>N</w:t>
      </w:r>
      <w:r w:rsidR="0058135F" w:rsidRPr="0058135F">
        <w:rPr>
          <w:b w:val="0"/>
          <w:sz w:val="22"/>
          <w:szCs w:val="22"/>
          <w:lang w:val="en-US"/>
        </w:rPr>
        <w:t xml:space="preserve"> is for further study</w:t>
      </w:r>
      <w:r w:rsidR="0058135F">
        <w:rPr>
          <w:b w:val="0"/>
          <w:sz w:val="22"/>
          <w:szCs w:val="22"/>
          <w:lang w:val="en-US"/>
        </w:rPr>
        <w:t>.</w:t>
      </w:r>
      <w:r w:rsidR="008E5550">
        <w:rPr>
          <w:b w:val="0"/>
          <w:sz w:val="22"/>
          <w:szCs w:val="22"/>
          <w:lang w:val="en-US"/>
        </w:rPr>
        <w:t xml:space="preserve"> </w:t>
      </w:r>
      <w:r w:rsidR="008E5550" w:rsidRPr="008E5550">
        <w:rPr>
          <w:b w:val="0"/>
          <w:sz w:val="22"/>
          <w:szCs w:val="22"/>
          <w:lang w:val="en-US"/>
        </w:rPr>
        <w:t xml:space="preserve">Mapping </w:t>
      </w:r>
      <w:bookmarkStart w:id="5" w:name="OLE_LINK1"/>
      <w:r w:rsidR="008E5550" w:rsidRPr="008E5550">
        <w:rPr>
          <w:b w:val="0"/>
          <w:sz w:val="22"/>
          <w:szCs w:val="22"/>
          <w:lang w:val="en-US"/>
        </w:rPr>
        <w:t>between the candidate states to the states described by N bit DCI field</w:t>
      </w:r>
      <w:bookmarkEnd w:id="5"/>
      <w:r w:rsidR="008E5550" w:rsidRPr="008E5550">
        <w:rPr>
          <w:b w:val="0"/>
          <w:sz w:val="22"/>
          <w:szCs w:val="22"/>
          <w:lang w:val="en-US"/>
        </w:rPr>
        <w:t xml:space="preserve"> for PDSCH</w:t>
      </w:r>
      <w:r w:rsidR="008E5550">
        <w:rPr>
          <w:rFonts w:eastAsia="SimSun" w:hint="eastAsia"/>
          <w:b w:val="0"/>
          <w:sz w:val="22"/>
          <w:szCs w:val="22"/>
          <w:lang w:val="en-US" w:eastAsia="zh-CN"/>
        </w:rPr>
        <w:t xml:space="preserve"> is also for further study.</w:t>
      </w:r>
    </w:p>
    <w:p w14:paraId="2A72C710" w14:textId="596BCBCD" w:rsidR="000A2D17" w:rsidRPr="00A23B1E" w:rsidRDefault="0058135F" w:rsidP="006638FE">
      <w:pPr>
        <w:pStyle w:val="LGTdoc1"/>
        <w:spacing w:beforeLines="0" w:before="120" w:after="120" w:afterAutospacing="0"/>
        <w:rPr>
          <w:b w:val="0"/>
          <w:sz w:val="22"/>
          <w:szCs w:val="22"/>
          <w:lang w:val="en-US"/>
        </w:rPr>
      </w:pPr>
      <w:r>
        <w:rPr>
          <w:b w:val="0"/>
          <w:sz w:val="22"/>
          <w:szCs w:val="22"/>
          <w:lang w:val="en-US"/>
        </w:rPr>
        <w:t>In t</w:t>
      </w:r>
      <w:r w:rsidRPr="0058135F">
        <w:rPr>
          <w:b w:val="0"/>
          <w:sz w:val="22"/>
          <w:szCs w:val="22"/>
          <w:lang w:val="en-US"/>
        </w:rPr>
        <w:t>he N-bit indicator field</w:t>
      </w:r>
      <w:r>
        <w:rPr>
          <w:b w:val="0"/>
          <w:sz w:val="22"/>
          <w:szCs w:val="22"/>
          <w:lang w:val="en-US"/>
        </w:rPr>
        <w:t xml:space="preserve"> in DCI, e</w:t>
      </w:r>
      <w:r w:rsidR="000A2D17" w:rsidRPr="000A2D17">
        <w:rPr>
          <w:b w:val="0"/>
          <w:sz w:val="22"/>
          <w:szCs w:val="22"/>
          <w:lang w:val="en-US"/>
        </w:rPr>
        <w:t xml:space="preserve">ach TCI state can be configured with one RS Set. According </w:t>
      </w:r>
      <w:r w:rsidR="00A23B1E">
        <w:rPr>
          <w:b w:val="0"/>
          <w:sz w:val="22"/>
          <w:szCs w:val="22"/>
          <w:lang w:val="en-US"/>
        </w:rPr>
        <w:t xml:space="preserve">to </w:t>
      </w:r>
      <w:r w:rsidR="000A2D17" w:rsidRPr="000A2D17">
        <w:rPr>
          <w:b w:val="0"/>
          <w:sz w:val="22"/>
          <w:szCs w:val="22"/>
          <w:lang w:val="en-US"/>
        </w:rPr>
        <w:t xml:space="preserve">the agreements of RAN1 #90 meeting, </w:t>
      </w:r>
      <w:r w:rsidR="000A2D17">
        <w:rPr>
          <w:b w:val="0"/>
          <w:sz w:val="22"/>
          <w:szCs w:val="22"/>
          <w:lang w:val="en-US"/>
        </w:rPr>
        <w:t>t</w:t>
      </w:r>
      <w:r w:rsidR="000A2D17" w:rsidRPr="000A2D17">
        <w:rPr>
          <w:b w:val="0"/>
          <w:sz w:val="22"/>
          <w:szCs w:val="22"/>
          <w:lang w:val="en-US"/>
        </w:rPr>
        <w:t xml:space="preserve">he RSs within a RS set may be of different types. If there are more than one RS per RS set, each of them may be associated </w:t>
      </w:r>
      <w:r w:rsidR="00BC1F8C">
        <w:rPr>
          <w:b w:val="0"/>
          <w:sz w:val="22"/>
          <w:szCs w:val="22"/>
          <w:lang w:val="en-US"/>
        </w:rPr>
        <w:t xml:space="preserve">with the PDSCH DMRS </w:t>
      </w:r>
      <w:r w:rsidR="000A2D17" w:rsidRPr="000A2D17">
        <w:rPr>
          <w:b w:val="0"/>
          <w:sz w:val="22"/>
          <w:szCs w:val="22"/>
          <w:lang w:val="en-US"/>
        </w:rPr>
        <w:t>with different QCL parameters, e.g. one RS may be associated with spatial QCL while another RS may be associated with other QCL parameters, etc</w:t>
      </w:r>
      <w:r w:rsidR="00D51897">
        <w:rPr>
          <w:b w:val="0"/>
          <w:sz w:val="22"/>
          <w:szCs w:val="22"/>
          <w:lang w:val="en-US"/>
        </w:rPr>
        <w:t>.</w:t>
      </w:r>
      <w:r w:rsidR="00A23B1E">
        <w:rPr>
          <w:b w:val="0"/>
          <w:sz w:val="22"/>
          <w:szCs w:val="22"/>
          <w:lang w:val="en-US"/>
        </w:rPr>
        <w:t xml:space="preserve"> It means that spatial QCL parameters and other QCL parameters </w:t>
      </w:r>
      <w:r w:rsidR="00BC1F8C">
        <w:rPr>
          <w:b w:val="0"/>
          <w:sz w:val="22"/>
          <w:szCs w:val="22"/>
          <w:lang w:val="en-US"/>
        </w:rPr>
        <w:t xml:space="preserve">relating to the PDSCH DMRS and one or more other RS </w:t>
      </w:r>
      <w:r w:rsidR="00A23B1E">
        <w:rPr>
          <w:b w:val="0"/>
          <w:sz w:val="22"/>
          <w:szCs w:val="22"/>
          <w:lang w:val="en-US"/>
        </w:rPr>
        <w:t>can be indicated to</w:t>
      </w:r>
      <w:r w:rsidR="00BC1F8C">
        <w:rPr>
          <w:b w:val="0"/>
          <w:sz w:val="22"/>
          <w:szCs w:val="22"/>
          <w:lang w:val="en-US"/>
        </w:rPr>
        <w:t xml:space="preserve"> a</w:t>
      </w:r>
      <w:r w:rsidR="00A23B1E">
        <w:rPr>
          <w:b w:val="0"/>
          <w:sz w:val="22"/>
          <w:szCs w:val="22"/>
          <w:lang w:val="en-US"/>
        </w:rPr>
        <w:t xml:space="preserve"> UE in one TCI state.</w:t>
      </w:r>
      <w:r w:rsidR="00E9586C">
        <w:rPr>
          <w:b w:val="0"/>
          <w:sz w:val="22"/>
          <w:szCs w:val="22"/>
          <w:lang w:val="en-US"/>
        </w:rPr>
        <w:t xml:space="preserve"> </w:t>
      </w:r>
      <w:r>
        <w:rPr>
          <w:b w:val="0"/>
          <w:sz w:val="22"/>
          <w:szCs w:val="22"/>
          <w:lang w:val="en-US"/>
        </w:rPr>
        <w:t xml:space="preserve">However, not all of </w:t>
      </w:r>
      <w:r w:rsidR="00BC1F8C">
        <w:rPr>
          <w:b w:val="0"/>
          <w:sz w:val="22"/>
          <w:szCs w:val="22"/>
          <w:lang w:val="en-US"/>
        </w:rPr>
        <w:t xml:space="preserve">possible </w:t>
      </w:r>
      <w:r>
        <w:rPr>
          <w:b w:val="0"/>
          <w:sz w:val="22"/>
          <w:szCs w:val="22"/>
          <w:lang w:val="en-US"/>
        </w:rPr>
        <w:t xml:space="preserve">QCL parameters need to be indicated in </w:t>
      </w:r>
      <w:r w:rsidR="00BC1F8C">
        <w:rPr>
          <w:b w:val="0"/>
          <w:sz w:val="22"/>
          <w:szCs w:val="22"/>
          <w:lang w:val="en-US"/>
        </w:rPr>
        <w:t xml:space="preserve">the </w:t>
      </w:r>
      <w:r>
        <w:rPr>
          <w:b w:val="0"/>
          <w:sz w:val="22"/>
          <w:szCs w:val="22"/>
          <w:lang w:val="en-US"/>
        </w:rPr>
        <w:t>DCI signaling</w:t>
      </w:r>
      <w:r w:rsidR="00F9436E">
        <w:rPr>
          <w:b w:val="0"/>
          <w:sz w:val="22"/>
          <w:szCs w:val="22"/>
          <w:lang w:val="en-US"/>
        </w:rPr>
        <w:t xml:space="preserve">. </w:t>
      </w:r>
      <w:r w:rsidR="004B09F8">
        <w:rPr>
          <w:b w:val="0"/>
          <w:sz w:val="22"/>
          <w:szCs w:val="22"/>
          <w:lang w:val="en-US"/>
        </w:rPr>
        <w:t xml:space="preserve">For example, </w:t>
      </w:r>
      <w:r w:rsidR="00B276EF">
        <w:rPr>
          <w:b w:val="0"/>
          <w:sz w:val="22"/>
          <w:szCs w:val="22"/>
          <w:lang w:val="en-US"/>
        </w:rPr>
        <w:t xml:space="preserve">in </w:t>
      </w:r>
      <w:r w:rsidR="00080CF6">
        <w:rPr>
          <w:b w:val="0"/>
          <w:sz w:val="22"/>
          <w:szCs w:val="22"/>
          <w:lang w:val="en-US"/>
        </w:rPr>
        <w:t xml:space="preserve">a </w:t>
      </w:r>
      <w:r w:rsidR="004B09F8">
        <w:rPr>
          <w:b w:val="0"/>
          <w:sz w:val="22"/>
          <w:szCs w:val="22"/>
          <w:lang w:val="en-US"/>
        </w:rPr>
        <w:t>single TRP scenario</w:t>
      </w:r>
      <w:r w:rsidR="00B276EF" w:rsidRPr="00B276EF">
        <w:rPr>
          <w:b w:val="0"/>
          <w:sz w:val="22"/>
          <w:szCs w:val="22"/>
          <w:lang w:val="en-US"/>
        </w:rPr>
        <w:t xml:space="preserve"> </w:t>
      </w:r>
      <w:r w:rsidR="00B276EF">
        <w:rPr>
          <w:b w:val="0"/>
          <w:sz w:val="22"/>
          <w:szCs w:val="22"/>
          <w:lang w:val="en-US"/>
        </w:rPr>
        <w:t>above 6GHz</w:t>
      </w:r>
      <w:r w:rsidR="004B09F8">
        <w:rPr>
          <w:b w:val="0"/>
          <w:sz w:val="22"/>
          <w:szCs w:val="22"/>
          <w:lang w:val="en-US"/>
        </w:rPr>
        <w:t xml:space="preserve">, </w:t>
      </w:r>
      <w:r w:rsidR="00D9454A">
        <w:rPr>
          <w:b w:val="0"/>
          <w:sz w:val="22"/>
          <w:szCs w:val="22"/>
          <w:lang w:val="en-US"/>
        </w:rPr>
        <w:t>QCL param</w:t>
      </w:r>
      <w:r w:rsidR="00D33D0F">
        <w:rPr>
          <w:b w:val="0"/>
          <w:sz w:val="22"/>
          <w:szCs w:val="22"/>
          <w:lang w:val="en-US"/>
        </w:rPr>
        <w:t>e</w:t>
      </w:r>
      <w:r w:rsidR="00D9454A">
        <w:rPr>
          <w:b w:val="0"/>
          <w:sz w:val="22"/>
          <w:szCs w:val="22"/>
          <w:lang w:val="en-US"/>
        </w:rPr>
        <w:t xml:space="preserve">ters of TRS </w:t>
      </w:r>
      <w:r w:rsidR="00080CF6">
        <w:rPr>
          <w:b w:val="0"/>
          <w:sz w:val="22"/>
          <w:szCs w:val="22"/>
          <w:lang w:val="en-US"/>
        </w:rPr>
        <w:t>might</w:t>
      </w:r>
      <w:r w:rsidR="00D9454A">
        <w:rPr>
          <w:b w:val="0"/>
          <w:sz w:val="22"/>
          <w:szCs w:val="22"/>
          <w:lang w:val="en-US"/>
        </w:rPr>
        <w:t xml:space="preserve"> be configured</w:t>
      </w:r>
      <w:r w:rsidR="00727113">
        <w:rPr>
          <w:b w:val="0"/>
          <w:sz w:val="22"/>
          <w:szCs w:val="22"/>
          <w:lang w:val="en-US"/>
        </w:rPr>
        <w:t xml:space="preserve"> </w:t>
      </w:r>
      <w:r w:rsidR="00D9454A">
        <w:rPr>
          <w:b w:val="0"/>
          <w:sz w:val="22"/>
          <w:szCs w:val="22"/>
          <w:lang w:val="en-US"/>
        </w:rPr>
        <w:t>by RRC signaling</w:t>
      </w:r>
      <w:r w:rsidR="00727113">
        <w:rPr>
          <w:b w:val="0"/>
          <w:sz w:val="22"/>
          <w:szCs w:val="22"/>
          <w:lang w:val="en-US"/>
        </w:rPr>
        <w:t xml:space="preserve"> only</w:t>
      </w:r>
      <w:r w:rsidR="00D9454A">
        <w:rPr>
          <w:b w:val="0"/>
          <w:sz w:val="22"/>
          <w:szCs w:val="22"/>
          <w:lang w:val="en-US"/>
        </w:rPr>
        <w:t xml:space="preserve">, similar to CRS in LTE. </w:t>
      </w:r>
      <w:r w:rsidR="00F9436E">
        <w:rPr>
          <w:b w:val="0"/>
          <w:sz w:val="22"/>
          <w:szCs w:val="22"/>
          <w:lang w:val="en-US"/>
        </w:rPr>
        <w:t xml:space="preserve">Therefore, we propose that </w:t>
      </w:r>
      <w:r w:rsidR="00BC1F8C">
        <w:rPr>
          <w:b w:val="0"/>
          <w:sz w:val="22"/>
          <w:szCs w:val="22"/>
          <w:lang w:val="en-US"/>
        </w:rPr>
        <w:t xml:space="preserve">if </w:t>
      </w:r>
      <w:r w:rsidR="00F9436E">
        <w:rPr>
          <w:b w:val="0"/>
          <w:sz w:val="22"/>
          <w:szCs w:val="22"/>
          <w:lang w:val="en-US"/>
        </w:rPr>
        <w:t xml:space="preserve">M can be larger than </w:t>
      </w:r>
      <w:r w:rsidR="00F9436E" w:rsidRPr="00F9436E">
        <w:rPr>
          <w:b w:val="0"/>
          <w:sz w:val="22"/>
          <w:szCs w:val="22"/>
          <w:lang w:val="en-US"/>
        </w:rPr>
        <w:t>2</w:t>
      </w:r>
      <w:r w:rsidR="00F9436E" w:rsidRPr="00F9436E">
        <w:rPr>
          <w:b w:val="0"/>
          <w:sz w:val="22"/>
          <w:szCs w:val="22"/>
          <w:vertAlign w:val="superscript"/>
          <w:lang w:val="en-US"/>
        </w:rPr>
        <w:t>N</w:t>
      </w:r>
      <w:r w:rsidR="00F9436E" w:rsidRPr="00F9436E">
        <w:rPr>
          <w:b w:val="0"/>
          <w:sz w:val="22"/>
          <w:szCs w:val="22"/>
          <w:lang w:val="en-US"/>
        </w:rPr>
        <w:t xml:space="preserve"> </w:t>
      </w:r>
      <w:r w:rsidR="00BC1F8C">
        <w:rPr>
          <w:b w:val="0"/>
          <w:sz w:val="22"/>
          <w:szCs w:val="22"/>
          <w:lang w:val="en-US"/>
        </w:rPr>
        <w:t>this would</w:t>
      </w:r>
      <w:r w:rsidR="003232CF">
        <w:rPr>
          <w:b w:val="0"/>
          <w:sz w:val="22"/>
          <w:szCs w:val="22"/>
          <w:lang w:val="en-US"/>
        </w:rPr>
        <w:t xml:space="preserve"> </w:t>
      </w:r>
      <w:r w:rsidR="00F9436E">
        <w:rPr>
          <w:b w:val="0"/>
          <w:sz w:val="22"/>
          <w:szCs w:val="22"/>
          <w:lang w:val="en-US"/>
        </w:rPr>
        <w:t>facilitate separate configuration of semi-static QCL parameters and dynamic QCL parameters.</w:t>
      </w:r>
      <w:r w:rsidR="008E5550">
        <w:rPr>
          <w:b w:val="0"/>
          <w:sz w:val="22"/>
          <w:szCs w:val="22"/>
          <w:lang w:val="en-US"/>
        </w:rPr>
        <w:t xml:space="preserve"> As for spatial QCL parameters, the number of states configured by RRC signaling can be </w:t>
      </w:r>
      <w:r w:rsidR="00BC1F8C">
        <w:rPr>
          <w:b w:val="0"/>
          <w:sz w:val="22"/>
          <w:szCs w:val="22"/>
          <w:lang w:val="en-US"/>
        </w:rPr>
        <w:t>no larger than</w:t>
      </w:r>
      <w:r w:rsidR="008E5550">
        <w:rPr>
          <w:b w:val="0"/>
          <w:sz w:val="22"/>
          <w:szCs w:val="22"/>
          <w:lang w:val="en-US"/>
        </w:rPr>
        <w:t xml:space="preserve"> </w:t>
      </w:r>
      <w:r w:rsidR="008E5550" w:rsidRPr="00831F9F">
        <w:rPr>
          <w:rFonts w:eastAsia="MS Mincho"/>
          <w:b w:val="0"/>
          <w:sz w:val="21"/>
          <w:szCs w:val="21"/>
          <w:lang w:val="en-US" w:eastAsia="ja-JP"/>
        </w:rPr>
        <w:t>2</w:t>
      </w:r>
      <w:r w:rsidR="008E5550" w:rsidRPr="00831F9F">
        <w:rPr>
          <w:rFonts w:eastAsia="MS Mincho"/>
          <w:b w:val="0"/>
          <w:sz w:val="21"/>
          <w:szCs w:val="21"/>
          <w:vertAlign w:val="superscript"/>
          <w:lang w:val="en-US" w:eastAsia="ja-JP"/>
        </w:rPr>
        <w:t>N</w:t>
      </w:r>
      <w:r w:rsidR="008E5550">
        <w:rPr>
          <w:b w:val="0"/>
          <w:sz w:val="22"/>
          <w:szCs w:val="22"/>
          <w:lang w:val="en-US"/>
        </w:rPr>
        <w:t xml:space="preserve"> to avoid complicated mapping</w:t>
      </w:r>
      <w:r w:rsidR="009E0B56">
        <w:rPr>
          <w:b w:val="0"/>
          <w:sz w:val="22"/>
          <w:szCs w:val="22"/>
          <w:lang w:val="en-US"/>
        </w:rPr>
        <w:t xml:space="preserve"> </w:t>
      </w:r>
      <w:r w:rsidR="008E5550" w:rsidRPr="008E5550">
        <w:rPr>
          <w:b w:val="0"/>
          <w:sz w:val="22"/>
          <w:szCs w:val="22"/>
          <w:lang w:val="en-US"/>
        </w:rPr>
        <w:t>between the candidate states to the states described by N bit DCI field</w:t>
      </w:r>
      <w:r w:rsidR="008E5550">
        <w:rPr>
          <w:b w:val="0"/>
          <w:sz w:val="22"/>
          <w:szCs w:val="22"/>
          <w:lang w:val="en-US"/>
        </w:rPr>
        <w:t>.</w:t>
      </w:r>
      <w:r w:rsidR="009E0B56">
        <w:rPr>
          <w:b w:val="0"/>
          <w:sz w:val="22"/>
          <w:szCs w:val="22"/>
          <w:lang w:val="en-US"/>
        </w:rPr>
        <w:t xml:space="preserve"> </w:t>
      </w:r>
      <w:r w:rsidR="003E451A">
        <w:rPr>
          <w:b w:val="0"/>
          <w:sz w:val="22"/>
          <w:szCs w:val="22"/>
          <w:lang w:val="en-US"/>
        </w:rPr>
        <w:t>When new TCI states with spatial QCL parameters are needed, they can be updated by L1/L2 signaling.</w:t>
      </w:r>
    </w:p>
    <w:p w14:paraId="57B09111" w14:textId="42F6720E" w:rsidR="006638FE" w:rsidRDefault="00831F9F" w:rsidP="006638FE">
      <w:pPr>
        <w:pStyle w:val="LGTdoc1"/>
        <w:spacing w:beforeLines="0" w:before="120" w:after="120" w:afterAutospacing="0"/>
        <w:rPr>
          <w:rFonts w:eastAsia="SimSun"/>
          <w:b w:val="0"/>
          <w:sz w:val="22"/>
          <w:szCs w:val="22"/>
          <w:lang w:val="en-US" w:eastAsia="zh-CN"/>
        </w:rPr>
      </w:pPr>
      <w:r w:rsidRPr="00831F9F">
        <w:rPr>
          <w:rFonts w:eastAsia="SimSun" w:hint="eastAsia"/>
          <w:sz w:val="22"/>
          <w:szCs w:val="22"/>
          <w:lang w:val="en-US" w:eastAsia="zh-CN"/>
        </w:rPr>
        <w:t>Proposal</w:t>
      </w:r>
      <w:r w:rsidRPr="00831F9F">
        <w:rPr>
          <w:rFonts w:eastAsia="SimSun"/>
          <w:sz w:val="22"/>
          <w:szCs w:val="22"/>
          <w:lang w:val="en-US" w:eastAsia="zh-CN"/>
        </w:rPr>
        <w:t xml:space="preserve"> 1</w:t>
      </w:r>
      <w:r w:rsidRPr="00831F9F">
        <w:rPr>
          <w:rFonts w:eastAsia="SimSun" w:hint="eastAsia"/>
          <w:sz w:val="22"/>
          <w:szCs w:val="22"/>
          <w:lang w:val="en-US" w:eastAsia="zh-CN"/>
        </w:rPr>
        <w:t>:</w:t>
      </w:r>
      <w:r>
        <w:rPr>
          <w:rFonts w:eastAsia="SimSun" w:hint="eastAsia"/>
          <w:b w:val="0"/>
          <w:sz w:val="22"/>
          <w:szCs w:val="22"/>
          <w:lang w:val="en-US" w:eastAsia="zh-CN"/>
        </w:rPr>
        <w:t xml:space="preserve"> </w:t>
      </w:r>
      <w:r w:rsidRPr="00831F9F">
        <w:rPr>
          <w:rFonts w:eastAsia="SimSun" w:hint="eastAsia"/>
          <w:b w:val="0"/>
          <w:sz w:val="22"/>
          <w:szCs w:val="22"/>
          <w:lang w:val="en-US" w:eastAsia="zh-CN"/>
        </w:rPr>
        <w:t xml:space="preserve">The number of candidate TCI states configured by RRC can be larger than </w:t>
      </w:r>
      <w:r w:rsidRPr="00831F9F">
        <w:rPr>
          <w:rFonts w:eastAsia="MS Mincho"/>
          <w:b w:val="0"/>
          <w:sz w:val="21"/>
          <w:szCs w:val="21"/>
          <w:lang w:val="en-US" w:eastAsia="ja-JP"/>
        </w:rPr>
        <w:t>2</w:t>
      </w:r>
      <w:r w:rsidRPr="00831F9F">
        <w:rPr>
          <w:rFonts w:eastAsia="MS Mincho"/>
          <w:b w:val="0"/>
          <w:sz w:val="21"/>
          <w:szCs w:val="21"/>
          <w:vertAlign w:val="superscript"/>
          <w:lang w:val="en-US" w:eastAsia="ja-JP"/>
        </w:rPr>
        <w:t>N</w:t>
      </w:r>
      <w:r w:rsidRPr="00831F9F">
        <w:rPr>
          <w:rFonts w:eastAsia="SimSun" w:hint="eastAsia"/>
          <w:b w:val="0"/>
          <w:sz w:val="22"/>
          <w:szCs w:val="22"/>
          <w:lang w:val="en-US" w:eastAsia="zh-CN"/>
        </w:rPr>
        <w:t xml:space="preserve">, and </w:t>
      </w:r>
      <w:r w:rsidRPr="00831F9F">
        <w:rPr>
          <w:rFonts w:eastAsia="SimSun"/>
          <w:b w:val="0"/>
          <w:sz w:val="22"/>
          <w:szCs w:val="22"/>
          <w:lang w:val="en-US" w:eastAsia="zh-CN"/>
        </w:rPr>
        <w:t xml:space="preserve">the number of TCI states </w:t>
      </w:r>
      <w:r w:rsidR="00BC1F8C">
        <w:rPr>
          <w:rFonts w:eastAsia="SimSun"/>
          <w:b w:val="0"/>
          <w:sz w:val="22"/>
          <w:szCs w:val="22"/>
          <w:lang w:val="en-US" w:eastAsia="zh-CN"/>
        </w:rPr>
        <w:t xml:space="preserve">which </w:t>
      </w:r>
      <w:r w:rsidR="009C4C31">
        <w:rPr>
          <w:rFonts w:eastAsia="SimSun"/>
          <w:b w:val="0"/>
          <w:sz w:val="22"/>
          <w:szCs w:val="22"/>
          <w:lang w:val="en-US" w:eastAsia="zh-CN"/>
        </w:rPr>
        <w:t>includ</w:t>
      </w:r>
      <w:r w:rsidR="00BC1F8C">
        <w:rPr>
          <w:rFonts w:eastAsia="SimSun"/>
          <w:b w:val="0"/>
          <w:sz w:val="22"/>
          <w:szCs w:val="22"/>
          <w:lang w:val="en-US" w:eastAsia="zh-CN"/>
        </w:rPr>
        <w:t>e</w:t>
      </w:r>
      <w:r w:rsidRPr="00831F9F">
        <w:rPr>
          <w:rFonts w:eastAsia="SimSun"/>
          <w:b w:val="0"/>
          <w:sz w:val="22"/>
          <w:szCs w:val="22"/>
          <w:lang w:val="en-US" w:eastAsia="zh-CN"/>
        </w:rPr>
        <w:t xml:space="preserve"> spatial parameters </w:t>
      </w:r>
      <w:r w:rsidR="00764B38">
        <w:rPr>
          <w:rFonts w:eastAsia="SimSun"/>
          <w:b w:val="0"/>
          <w:sz w:val="22"/>
          <w:szCs w:val="22"/>
          <w:lang w:val="en-US" w:eastAsia="zh-CN"/>
        </w:rPr>
        <w:t>can be</w:t>
      </w:r>
      <w:r w:rsidRPr="00831F9F">
        <w:rPr>
          <w:rFonts w:eastAsia="SimSun"/>
          <w:b w:val="0"/>
          <w:sz w:val="22"/>
          <w:szCs w:val="22"/>
          <w:lang w:val="en-US" w:eastAsia="zh-CN"/>
        </w:rPr>
        <w:t xml:space="preserve"> </w:t>
      </w:r>
      <w:r w:rsidR="00BC1F8C">
        <w:rPr>
          <w:rFonts w:eastAsia="SimSun"/>
          <w:b w:val="0"/>
          <w:sz w:val="22"/>
          <w:szCs w:val="22"/>
          <w:lang w:val="en-US" w:eastAsia="zh-CN"/>
        </w:rPr>
        <w:t>no larger than</w:t>
      </w:r>
      <w:r w:rsidRPr="00831F9F">
        <w:rPr>
          <w:rFonts w:eastAsia="SimSun"/>
          <w:b w:val="0"/>
          <w:sz w:val="22"/>
          <w:szCs w:val="22"/>
          <w:lang w:val="en-US" w:eastAsia="zh-CN"/>
        </w:rPr>
        <w:t xml:space="preserve"> </w:t>
      </w:r>
      <w:r w:rsidRPr="00831F9F">
        <w:rPr>
          <w:rFonts w:eastAsia="MS Mincho"/>
          <w:b w:val="0"/>
          <w:sz w:val="21"/>
          <w:szCs w:val="21"/>
          <w:lang w:val="en-US" w:eastAsia="ja-JP"/>
        </w:rPr>
        <w:t>2</w:t>
      </w:r>
      <w:r w:rsidRPr="00831F9F">
        <w:rPr>
          <w:rFonts w:eastAsia="MS Mincho"/>
          <w:b w:val="0"/>
          <w:sz w:val="21"/>
          <w:szCs w:val="21"/>
          <w:vertAlign w:val="superscript"/>
          <w:lang w:val="en-US" w:eastAsia="ja-JP"/>
        </w:rPr>
        <w:t>N</w:t>
      </w:r>
      <w:r w:rsidRPr="00831F9F">
        <w:rPr>
          <w:rFonts w:eastAsia="SimSun"/>
          <w:b w:val="0"/>
          <w:sz w:val="22"/>
          <w:szCs w:val="22"/>
          <w:lang w:val="en-US" w:eastAsia="zh-CN"/>
        </w:rPr>
        <w:t>.</w:t>
      </w:r>
    </w:p>
    <w:p w14:paraId="0C0F68E7" w14:textId="73E7CA31" w:rsidR="00764B38" w:rsidRPr="00831F9F" w:rsidRDefault="00764B38" w:rsidP="006638FE">
      <w:pPr>
        <w:pStyle w:val="LGTdoc1"/>
        <w:spacing w:beforeLines="0" w:before="120" w:after="120" w:afterAutospacing="0"/>
        <w:rPr>
          <w:rFonts w:eastAsia="SimSun"/>
          <w:b w:val="0"/>
          <w:sz w:val="22"/>
          <w:szCs w:val="22"/>
          <w:lang w:val="en-US" w:eastAsia="zh-CN"/>
        </w:rPr>
      </w:pPr>
      <w:r>
        <w:rPr>
          <w:rFonts w:eastAsia="SimSun"/>
          <w:b w:val="0"/>
          <w:sz w:val="22"/>
          <w:szCs w:val="22"/>
          <w:lang w:val="en-US" w:eastAsia="zh-CN"/>
        </w:rPr>
        <w:lastRenderedPageBreak/>
        <w:t>About TCI states initialization or update, the following agreements were achieved in the last meeting,</w:t>
      </w:r>
    </w:p>
    <w:p w14:paraId="20EFDD77" w14:textId="77777777" w:rsidR="006638FE" w:rsidRPr="00BB5331" w:rsidRDefault="006638FE" w:rsidP="006638FE">
      <w:pPr>
        <w:numPr>
          <w:ilvl w:val="1"/>
          <w:numId w:val="28"/>
        </w:numPr>
        <w:tabs>
          <w:tab w:val="left" w:pos="1440"/>
        </w:tabs>
        <w:spacing w:line="240" w:lineRule="exact"/>
        <w:ind w:hanging="357"/>
        <w:jc w:val="both"/>
        <w:rPr>
          <w:rFonts w:ascii="Times New Roman" w:eastAsia="MS Mincho" w:hAnsi="Times New Roman"/>
          <w:sz w:val="21"/>
          <w:szCs w:val="21"/>
          <w:lang w:val="en-US" w:eastAsia="ja-JP"/>
        </w:rPr>
      </w:pPr>
      <w:r w:rsidRPr="00BB5331">
        <w:rPr>
          <w:rFonts w:ascii="Times New Roman" w:eastAsia="MS Mincho" w:hAnsi="Times New Roman"/>
          <w:sz w:val="21"/>
          <w:szCs w:val="21"/>
          <w:lang w:val="en-US" w:eastAsia="ja-JP"/>
        </w:rPr>
        <w:t>FFS: Mechanisms to initialize/update the ID of a DL RS(s) in the RS Set used at least for spatial QCL purposes</w:t>
      </w:r>
    </w:p>
    <w:p w14:paraId="2D0FE065" w14:textId="77777777" w:rsidR="006638FE" w:rsidRPr="00BB5331" w:rsidRDefault="006638FE" w:rsidP="006638FE">
      <w:pPr>
        <w:numPr>
          <w:ilvl w:val="2"/>
          <w:numId w:val="28"/>
        </w:numPr>
        <w:spacing w:line="240" w:lineRule="exact"/>
        <w:jc w:val="both"/>
        <w:rPr>
          <w:rFonts w:eastAsia="MS Mincho"/>
          <w:lang w:eastAsia="ja-JP"/>
        </w:rPr>
      </w:pPr>
      <w:r w:rsidRPr="00BB5331">
        <w:rPr>
          <w:rFonts w:eastAsia="MS Mincho"/>
          <w:lang w:eastAsia="ja-JP"/>
        </w:rPr>
        <w:t xml:space="preserve">At least the following two mechanisms are FFS: (1) explicit signalling to the UE of </w:t>
      </w:r>
      <w:bookmarkStart w:id="6" w:name="OLE_LINK5"/>
      <w:r w:rsidRPr="00BB5331">
        <w:rPr>
          <w:rFonts w:eastAsia="MS Mincho"/>
          <w:lang w:eastAsia="ja-JP"/>
        </w:rPr>
        <w:t>the DL RS(s) ID and corresponding TCI state</w:t>
      </w:r>
      <w:bookmarkEnd w:id="6"/>
      <w:r w:rsidRPr="00BB5331">
        <w:rPr>
          <w:rFonts w:eastAsia="MS Mincho"/>
          <w:lang w:eastAsia="ja-JP"/>
        </w:rPr>
        <w:t xml:space="preserve"> (2) implicit association of the DL RS ID(s) to a TCI state based on measurements by the UE.</w:t>
      </w:r>
    </w:p>
    <w:p w14:paraId="55204514" w14:textId="77777777" w:rsidR="006638FE" w:rsidRPr="00BB5331" w:rsidRDefault="006638FE" w:rsidP="006638FE">
      <w:pPr>
        <w:numPr>
          <w:ilvl w:val="2"/>
          <w:numId w:val="28"/>
        </w:numPr>
        <w:spacing w:line="240" w:lineRule="exact"/>
        <w:jc w:val="both"/>
        <w:rPr>
          <w:rFonts w:eastAsia="MS Mincho"/>
          <w:lang w:eastAsia="ja-JP"/>
        </w:rPr>
      </w:pPr>
      <w:r w:rsidRPr="00BB5331">
        <w:rPr>
          <w:rFonts w:eastAsia="MS Mincho"/>
          <w:lang w:eastAsia="ja-JP"/>
        </w:rPr>
        <w:t>The mechanisms used for different RS types are FFS</w:t>
      </w:r>
    </w:p>
    <w:p w14:paraId="76C5E505" w14:textId="2DA4E021" w:rsidR="006638FE" w:rsidRPr="00764B38" w:rsidRDefault="00764B38" w:rsidP="00764B38">
      <w:pPr>
        <w:pStyle w:val="LGTdoc1"/>
        <w:spacing w:beforeLines="0" w:before="120" w:after="120" w:afterAutospacing="0"/>
        <w:rPr>
          <w:b w:val="0"/>
          <w:sz w:val="22"/>
          <w:szCs w:val="22"/>
          <w:lang w:val="en-US"/>
        </w:rPr>
      </w:pPr>
      <w:r>
        <w:rPr>
          <w:b w:val="0"/>
          <w:sz w:val="22"/>
          <w:szCs w:val="22"/>
          <w:lang w:val="en-US"/>
        </w:rPr>
        <w:t>The comparison of mechanism 1 (explicit update) and one example of mechanism 2 (implicit update) is shown in Figure 1.</w:t>
      </w:r>
      <w:r w:rsidR="00F84209">
        <w:rPr>
          <w:b w:val="0"/>
          <w:sz w:val="22"/>
          <w:szCs w:val="22"/>
          <w:lang w:val="en-US"/>
        </w:rPr>
        <w:t xml:space="preserve"> In general, gNB can acquire the indices of Tx beams </w:t>
      </w:r>
      <w:r w:rsidR="00A977BC">
        <w:rPr>
          <w:b w:val="0"/>
          <w:sz w:val="22"/>
          <w:szCs w:val="22"/>
          <w:lang w:val="en-US"/>
        </w:rPr>
        <w:t>with</w:t>
      </w:r>
      <w:r w:rsidR="00F84209">
        <w:rPr>
          <w:b w:val="0"/>
          <w:sz w:val="22"/>
          <w:szCs w:val="22"/>
          <w:lang w:val="en-US"/>
        </w:rPr>
        <w:t xml:space="preserve"> higher RSRP values through regular</w:t>
      </w:r>
      <w:r w:rsidR="00A977BC">
        <w:rPr>
          <w:b w:val="0"/>
          <w:sz w:val="22"/>
          <w:szCs w:val="22"/>
          <w:lang w:val="en-US"/>
        </w:rPr>
        <w:t>/periodic</w:t>
      </w:r>
      <w:r w:rsidR="00F84209">
        <w:rPr>
          <w:b w:val="0"/>
          <w:sz w:val="22"/>
          <w:szCs w:val="22"/>
          <w:lang w:val="en-US"/>
        </w:rPr>
        <w:t xml:space="preserve"> beam reporting. When </w:t>
      </w:r>
      <w:r w:rsidR="00A977BC">
        <w:rPr>
          <w:b w:val="0"/>
          <w:sz w:val="22"/>
          <w:szCs w:val="22"/>
          <w:lang w:val="en-US"/>
        </w:rPr>
        <w:t>one</w:t>
      </w:r>
      <w:r w:rsidR="00F84209">
        <w:rPr>
          <w:b w:val="0"/>
          <w:sz w:val="22"/>
          <w:szCs w:val="22"/>
          <w:lang w:val="en-US"/>
        </w:rPr>
        <w:t xml:space="preserve"> Tx beam is better than the beams in current TCI </w:t>
      </w:r>
      <w:r w:rsidR="005D6C02">
        <w:rPr>
          <w:b w:val="0"/>
          <w:sz w:val="22"/>
          <w:szCs w:val="22"/>
          <w:lang w:val="en-US"/>
        </w:rPr>
        <w:t>s</w:t>
      </w:r>
      <w:r w:rsidR="00F84209">
        <w:rPr>
          <w:b w:val="0"/>
          <w:sz w:val="22"/>
          <w:szCs w:val="22"/>
          <w:lang w:val="en-US"/>
        </w:rPr>
        <w:t>tat</w:t>
      </w:r>
      <w:r w:rsidR="005D6C02">
        <w:rPr>
          <w:b w:val="0"/>
          <w:sz w:val="22"/>
          <w:szCs w:val="22"/>
          <w:lang w:val="en-US"/>
        </w:rPr>
        <w:t xml:space="preserve">es, </w:t>
      </w:r>
      <w:r w:rsidR="00A977BC">
        <w:rPr>
          <w:b w:val="0"/>
          <w:sz w:val="22"/>
          <w:szCs w:val="22"/>
          <w:lang w:val="en-US"/>
        </w:rPr>
        <w:t>and the gNB intends to use this beam in future PDSCH transmission, the gNB can add this beam to current</w:t>
      </w:r>
      <w:r w:rsidR="00651808">
        <w:rPr>
          <w:b w:val="0"/>
          <w:sz w:val="22"/>
          <w:szCs w:val="22"/>
          <w:lang w:val="en-US"/>
        </w:rPr>
        <w:t xml:space="preserve"> TCI states.</w:t>
      </w:r>
    </w:p>
    <w:p w14:paraId="046934EF" w14:textId="43312D68" w:rsidR="00F76FE5" w:rsidRDefault="00F76FE5" w:rsidP="00E65342">
      <w:pPr>
        <w:pStyle w:val="LGTdoc1"/>
        <w:spacing w:beforeLines="0" w:before="120" w:after="120" w:afterAutospacing="0"/>
        <w:jc w:val="center"/>
      </w:pPr>
    </w:p>
    <w:p w14:paraId="0E6EC300" w14:textId="3BC76965" w:rsidR="00BE485A" w:rsidRDefault="00F76FE5" w:rsidP="00E65342">
      <w:pPr>
        <w:pStyle w:val="LGTdoc1"/>
        <w:spacing w:beforeLines="0" w:before="120" w:after="120" w:afterAutospacing="0"/>
        <w:jc w:val="center"/>
      </w:pPr>
      <w:r w:rsidRPr="00F76FE5">
        <w:t xml:space="preserve"> </w:t>
      </w:r>
      <w:r w:rsidR="00255656">
        <w:object w:dxaOrig="11998" w:dyaOrig="5200" w14:anchorId="7860E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195.75pt" o:ole="">
            <v:imagedata r:id="rId9" o:title=""/>
          </v:shape>
          <o:OLEObject Type="Embed" ProgID="Visio.Drawing.11" ShapeID="_x0000_i1025" DrawAspect="Content" ObjectID="_1568479885" r:id="rId10"/>
        </w:object>
      </w:r>
    </w:p>
    <w:p w14:paraId="5478AB7F" w14:textId="28E71774" w:rsidR="00621A29" w:rsidRDefault="00621A29" w:rsidP="005C357F">
      <w:pPr>
        <w:pStyle w:val="LGTdoc1"/>
        <w:spacing w:beforeLines="0" w:before="120" w:after="120" w:afterAutospacing="0"/>
        <w:jc w:val="center"/>
        <w:rPr>
          <w:b w:val="0"/>
          <w:sz w:val="21"/>
          <w:szCs w:val="21"/>
          <w:lang w:val="en-US"/>
        </w:rPr>
      </w:pPr>
      <w:r w:rsidRPr="00621A29">
        <w:rPr>
          <w:b w:val="0"/>
          <w:sz w:val="21"/>
          <w:szCs w:val="21"/>
          <w:lang w:val="en-US"/>
        </w:rPr>
        <w:t xml:space="preserve">Figure 1. </w:t>
      </w:r>
      <w:r w:rsidR="0009113C">
        <w:rPr>
          <w:b w:val="0"/>
          <w:sz w:val="21"/>
          <w:szCs w:val="21"/>
          <w:lang w:val="en-US"/>
        </w:rPr>
        <w:t>Comparison of mechanism 1 and mechanism 2</w:t>
      </w:r>
    </w:p>
    <w:p w14:paraId="7E521E60" w14:textId="50A7CCBE" w:rsidR="00F149CD" w:rsidRDefault="00F149CD" w:rsidP="005D6C02">
      <w:pPr>
        <w:pStyle w:val="LGTdoc1"/>
        <w:spacing w:beforeLines="0" w:before="120" w:after="120" w:afterAutospacing="0"/>
        <w:rPr>
          <w:b w:val="0"/>
          <w:sz w:val="22"/>
          <w:szCs w:val="22"/>
          <w:lang w:val="en-US"/>
        </w:rPr>
      </w:pPr>
      <w:r>
        <w:rPr>
          <w:b w:val="0"/>
          <w:sz w:val="22"/>
          <w:szCs w:val="22"/>
          <w:lang w:val="en-US"/>
        </w:rPr>
        <w:t xml:space="preserve">In mechanism 1, </w:t>
      </w:r>
      <w:r w:rsidR="007537A6">
        <w:rPr>
          <w:b w:val="0"/>
          <w:sz w:val="22"/>
          <w:szCs w:val="22"/>
          <w:lang w:val="en-US"/>
        </w:rPr>
        <w:t xml:space="preserve">when the gNB </w:t>
      </w:r>
      <w:r w:rsidR="00D606DE">
        <w:rPr>
          <w:b w:val="0"/>
          <w:sz w:val="22"/>
          <w:szCs w:val="22"/>
          <w:lang w:val="en-US"/>
        </w:rPr>
        <w:t>identifies the need</w:t>
      </w:r>
      <w:r w:rsidR="007537A6">
        <w:rPr>
          <w:b w:val="0"/>
          <w:sz w:val="22"/>
          <w:szCs w:val="22"/>
          <w:lang w:val="en-US"/>
        </w:rPr>
        <w:t xml:space="preserve"> to update </w:t>
      </w:r>
      <w:r w:rsidR="0085694C">
        <w:rPr>
          <w:b w:val="0"/>
          <w:sz w:val="22"/>
          <w:szCs w:val="22"/>
          <w:lang w:val="en-US"/>
        </w:rPr>
        <w:t xml:space="preserve">the set of M candidate </w:t>
      </w:r>
      <w:r w:rsidR="007537A6">
        <w:rPr>
          <w:b w:val="0"/>
          <w:sz w:val="22"/>
          <w:szCs w:val="22"/>
          <w:lang w:val="en-US"/>
        </w:rPr>
        <w:t xml:space="preserve">TCI states, </w:t>
      </w:r>
      <w:r w:rsidR="008D7E5F">
        <w:rPr>
          <w:b w:val="0"/>
          <w:sz w:val="22"/>
          <w:szCs w:val="22"/>
          <w:lang w:val="en-US"/>
        </w:rPr>
        <w:t xml:space="preserve">the </w:t>
      </w:r>
      <w:r>
        <w:rPr>
          <w:b w:val="0"/>
          <w:sz w:val="22"/>
          <w:szCs w:val="22"/>
          <w:lang w:val="en-US"/>
        </w:rPr>
        <w:t>ID</w:t>
      </w:r>
      <w:r w:rsidR="008D7E5F">
        <w:rPr>
          <w:b w:val="0"/>
          <w:sz w:val="22"/>
          <w:szCs w:val="22"/>
          <w:lang w:val="en-US"/>
        </w:rPr>
        <w:t>s</w:t>
      </w:r>
      <w:r>
        <w:rPr>
          <w:b w:val="0"/>
          <w:sz w:val="22"/>
          <w:szCs w:val="22"/>
          <w:lang w:val="en-US"/>
        </w:rPr>
        <w:t xml:space="preserve"> of the RS and corresponding TCI </w:t>
      </w:r>
      <w:r w:rsidR="00255656">
        <w:rPr>
          <w:b w:val="0"/>
          <w:sz w:val="22"/>
          <w:szCs w:val="22"/>
          <w:lang w:val="en-US"/>
        </w:rPr>
        <w:t>values</w:t>
      </w:r>
      <w:r w:rsidR="008D7E5F">
        <w:rPr>
          <w:b w:val="0"/>
          <w:sz w:val="22"/>
          <w:szCs w:val="22"/>
          <w:lang w:val="en-US"/>
        </w:rPr>
        <w:t xml:space="preserve"> </w:t>
      </w:r>
      <w:r>
        <w:rPr>
          <w:b w:val="0"/>
          <w:sz w:val="22"/>
          <w:szCs w:val="22"/>
          <w:lang w:val="en-US"/>
        </w:rPr>
        <w:t>are informed to the UE directly.</w:t>
      </w:r>
      <w:r w:rsidR="007537A6">
        <w:rPr>
          <w:b w:val="0"/>
          <w:sz w:val="22"/>
          <w:szCs w:val="22"/>
          <w:lang w:val="en-US"/>
        </w:rPr>
        <w:t xml:space="preserve"> This is the simplest mechanism to update TCI states.</w:t>
      </w:r>
      <w:r w:rsidR="00381EAB">
        <w:rPr>
          <w:b w:val="0"/>
          <w:sz w:val="22"/>
          <w:szCs w:val="22"/>
          <w:lang w:val="en-US"/>
        </w:rPr>
        <w:t xml:space="preserve"> However, due to the limitation</w:t>
      </w:r>
      <w:r w:rsidR="00D606DE">
        <w:rPr>
          <w:b w:val="0"/>
          <w:sz w:val="22"/>
          <w:szCs w:val="22"/>
          <w:lang w:val="en-US"/>
        </w:rPr>
        <w:t>s</w:t>
      </w:r>
      <w:r w:rsidR="00381EAB">
        <w:rPr>
          <w:b w:val="0"/>
          <w:sz w:val="22"/>
          <w:szCs w:val="22"/>
          <w:lang w:val="en-US"/>
        </w:rPr>
        <w:t xml:space="preserve"> of beam reporting</w:t>
      </w:r>
      <w:r w:rsidR="002872CC">
        <w:rPr>
          <w:b w:val="0"/>
          <w:sz w:val="22"/>
          <w:szCs w:val="22"/>
          <w:lang w:val="en-US"/>
        </w:rPr>
        <w:t>, the gNB do</w:t>
      </w:r>
      <w:r w:rsidR="005679AE">
        <w:rPr>
          <w:b w:val="0"/>
          <w:sz w:val="22"/>
          <w:szCs w:val="22"/>
          <w:lang w:val="en-US"/>
        </w:rPr>
        <w:t>es</w:t>
      </w:r>
      <w:r w:rsidR="002872CC">
        <w:rPr>
          <w:b w:val="0"/>
          <w:sz w:val="22"/>
          <w:szCs w:val="22"/>
          <w:lang w:val="en-US"/>
        </w:rPr>
        <w:t xml:space="preserve"> not have information on Rx beams</w:t>
      </w:r>
      <w:r w:rsidR="005679AE">
        <w:rPr>
          <w:b w:val="0"/>
          <w:sz w:val="22"/>
          <w:szCs w:val="22"/>
          <w:lang w:val="en-US"/>
        </w:rPr>
        <w:t xml:space="preserve">. Therefore, the TCI assignment </w:t>
      </w:r>
      <w:r w:rsidR="008D7E5F">
        <w:rPr>
          <w:b w:val="0"/>
          <w:sz w:val="22"/>
          <w:szCs w:val="22"/>
          <w:lang w:val="en-US"/>
        </w:rPr>
        <w:t>c</w:t>
      </w:r>
      <w:r w:rsidR="005679AE">
        <w:rPr>
          <w:b w:val="0"/>
          <w:sz w:val="22"/>
          <w:szCs w:val="22"/>
          <w:lang w:val="en-US"/>
        </w:rPr>
        <w:t xml:space="preserve">ould be inefficient. For example, two Tx beams corresponding to a same Rx beam might be assigned to different TCI states. If the gNB plans to add one Tx beam to one TCI state (e.g., TCI state “000”), then all Tx beams which were in TCI state “000” before should be removed, since </w:t>
      </w:r>
      <w:r w:rsidR="002B2B8E">
        <w:rPr>
          <w:b w:val="0"/>
          <w:sz w:val="22"/>
          <w:szCs w:val="22"/>
          <w:lang w:val="en-US"/>
        </w:rPr>
        <w:t xml:space="preserve">the gNB does not have confidence that these </w:t>
      </w:r>
      <w:r w:rsidR="005679AE">
        <w:rPr>
          <w:b w:val="0"/>
          <w:sz w:val="22"/>
          <w:szCs w:val="22"/>
          <w:lang w:val="en-US"/>
        </w:rPr>
        <w:t xml:space="preserve">Tx beams </w:t>
      </w:r>
      <w:r w:rsidR="002B2B8E">
        <w:rPr>
          <w:b w:val="0"/>
          <w:sz w:val="22"/>
          <w:szCs w:val="22"/>
          <w:lang w:val="en-US"/>
        </w:rPr>
        <w:t>are</w:t>
      </w:r>
      <w:r w:rsidR="005679AE">
        <w:rPr>
          <w:b w:val="0"/>
          <w:sz w:val="22"/>
          <w:szCs w:val="22"/>
          <w:lang w:val="en-US"/>
        </w:rPr>
        <w:t xml:space="preserve"> corresponding to a same Rx beam. </w:t>
      </w:r>
    </w:p>
    <w:p w14:paraId="35F817BA" w14:textId="21A55D16" w:rsidR="00A70224" w:rsidRDefault="007537A6" w:rsidP="005679AE">
      <w:pPr>
        <w:pStyle w:val="LGTdoc1"/>
        <w:spacing w:beforeLines="0" w:before="120" w:after="120" w:afterAutospacing="0"/>
        <w:rPr>
          <w:b w:val="0"/>
          <w:sz w:val="22"/>
          <w:szCs w:val="22"/>
          <w:lang w:val="en-US"/>
        </w:rPr>
      </w:pPr>
      <w:r>
        <w:rPr>
          <w:b w:val="0"/>
          <w:sz w:val="22"/>
          <w:szCs w:val="22"/>
          <w:lang w:val="en-US"/>
        </w:rPr>
        <w:t xml:space="preserve">In mechanism 2, when the gNB </w:t>
      </w:r>
      <w:r w:rsidR="00D606DE">
        <w:rPr>
          <w:b w:val="0"/>
          <w:sz w:val="22"/>
          <w:szCs w:val="22"/>
          <w:lang w:val="en-US"/>
        </w:rPr>
        <w:t>identifies the need</w:t>
      </w:r>
      <w:r>
        <w:rPr>
          <w:b w:val="0"/>
          <w:sz w:val="22"/>
          <w:szCs w:val="22"/>
          <w:lang w:val="en-US"/>
        </w:rPr>
        <w:t xml:space="preserve"> to update </w:t>
      </w:r>
      <w:r w:rsidR="008D7E5F">
        <w:rPr>
          <w:b w:val="0"/>
          <w:sz w:val="22"/>
          <w:szCs w:val="22"/>
          <w:lang w:val="en-US"/>
        </w:rPr>
        <w:t xml:space="preserve">the set of </w:t>
      </w:r>
      <w:r w:rsidR="00002AA8">
        <w:rPr>
          <w:b w:val="0"/>
          <w:sz w:val="22"/>
          <w:szCs w:val="22"/>
          <w:lang w:val="en-US"/>
        </w:rPr>
        <w:t xml:space="preserve">M candidate </w:t>
      </w:r>
      <w:r>
        <w:rPr>
          <w:b w:val="0"/>
          <w:sz w:val="22"/>
          <w:szCs w:val="22"/>
          <w:lang w:val="en-US"/>
        </w:rPr>
        <w:t>TCI states, it will trigger one</w:t>
      </w:r>
      <w:r w:rsidR="005679AE">
        <w:rPr>
          <w:b w:val="0"/>
          <w:sz w:val="22"/>
          <w:szCs w:val="22"/>
          <w:lang w:val="en-US"/>
        </w:rPr>
        <w:t xml:space="preserve"> or two resource sets of</w:t>
      </w:r>
      <w:r>
        <w:rPr>
          <w:b w:val="0"/>
          <w:sz w:val="22"/>
          <w:szCs w:val="22"/>
          <w:lang w:val="en-US"/>
        </w:rPr>
        <w:t xml:space="preserve"> aperiodic CSI-RS to the UE and </w:t>
      </w:r>
      <w:r w:rsidR="005679AE">
        <w:rPr>
          <w:b w:val="0"/>
          <w:sz w:val="22"/>
          <w:szCs w:val="22"/>
          <w:lang w:val="en-US"/>
        </w:rPr>
        <w:t xml:space="preserve">transmit </w:t>
      </w:r>
      <w:r>
        <w:rPr>
          <w:b w:val="0"/>
          <w:sz w:val="22"/>
          <w:szCs w:val="22"/>
          <w:lang w:val="en-US"/>
        </w:rPr>
        <w:t>a corresponding</w:t>
      </w:r>
      <w:r w:rsidR="002B2B8E">
        <w:rPr>
          <w:b w:val="0"/>
          <w:sz w:val="22"/>
          <w:szCs w:val="22"/>
          <w:lang w:val="en-US"/>
        </w:rPr>
        <w:t xml:space="preserve"> TCI</w:t>
      </w:r>
      <w:r w:rsidR="005679AE">
        <w:rPr>
          <w:b w:val="0"/>
          <w:sz w:val="22"/>
          <w:szCs w:val="22"/>
          <w:lang w:val="en-US"/>
        </w:rPr>
        <w:t xml:space="preserve"> through DCI signaling. </w:t>
      </w:r>
      <w:r w:rsidR="00287237" w:rsidRPr="005679AE">
        <w:rPr>
          <w:b w:val="0"/>
          <w:sz w:val="22"/>
          <w:szCs w:val="22"/>
          <w:lang w:val="en-US"/>
        </w:rPr>
        <w:t xml:space="preserve">The UE </w:t>
      </w:r>
      <w:r w:rsidR="00F64AC6">
        <w:rPr>
          <w:b w:val="0"/>
          <w:sz w:val="22"/>
          <w:szCs w:val="22"/>
          <w:lang w:val="en-US"/>
        </w:rPr>
        <w:t xml:space="preserve">will </w:t>
      </w:r>
      <w:r w:rsidR="00287237" w:rsidRPr="005679AE">
        <w:rPr>
          <w:b w:val="0"/>
          <w:sz w:val="22"/>
          <w:szCs w:val="22"/>
          <w:lang w:val="en-US"/>
        </w:rPr>
        <w:t>associates the preferred CSI-RS resource from each triggered resource set with the TCI state of the signalled TCI value and thus assigns the preferred CSI-RS(s) to the RS set(s) within the TCI state</w:t>
      </w:r>
      <w:r w:rsidR="002B2B8E">
        <w:rPr>
          <w:b w:val="0"/>
          <w:sz w:val="22"/>
          <w:szCs w:val="22"/>
          <w:lang w:val="en-US"/>
        </w:rPr>
        <w:t xml:space="preserve"> [3]</w:t>
      </w:r>
      <w:r w:rsidR="00C610A3">
        <w:rPr>
          <w:b w:val="0"/>
          <w:sz w:val="22"/>
          <w:szCs w:val="22"/>
          <w:lang w:val="en-US"/>
        </w:rPr>
        <w:t xml:space="preserve">. In this mechanism, TCI is also assigned by the gNB. Therefore, the problems in TCI assignment are the same as mechanism 1. Besides, this mechanism </w:t>
      </w:r>
      <w:r w:rsidR="00246FFE">
        <w:rPr>
          <w:b w:val="0"/>
          <w:sz w:val="22"/>
          <w:szCs w:val="22"/>
          <w:lang w:val="en-US"/>
        </w:rPr>
        <w:t xml:space="preserve">has other issues. For example, there might be misunderstanding about TCI states between the gNB side and the UE side. In addition, this mechanism </w:t>
      </w:r>
      <w:r w:rsidR="00C610A3">
        <w:rPr>
          <w:b w:val="0"/>
          <w:sz w:val="22"/>
          <w:szCs w:val="22"/>
          <w:lang w:val="en-US"/>
        </w:rPr>
        <w:t xml:space="preserve">cannot be easily extended to the </w:t>
      </w:r>
      <w:r w:rsidR="00246FFE">
        <w:rPr>
          <w:b w:val="0"/>
          <w:sz w:val="22"/>
          <w:szCs w:val="22"/>
          <w:lang w:val="en-US"/>
        </w:rPr>
        <w:t>case</w:t>
      </w:r>
      <w:r w:rsidR="00C610A3">
        <w:rPr>
          <w:b w:val="0"/>
          <w:sz w:val="22"/>
          <w:szCs w:val="22"/>
          <w:lang w:val="en-US"/>
        </w:rPr>
        <w:t xml:space="preserve"> with SSB.</w:t>
      </w:r>
      <w:r w:rsidR="00BC1F8C">
        <w:rPr>
          <w:b w:val="0"/>
          <w:sz w:val="22"/>
          <w:szCs w:val="22"/>
          <w:lang w:val="en-US"/>
        </w:rPr>
        <w:t xml:space="preserve"> Therefore we propose to support mechanism 1.</w:t>
      </w:r>
    </w:p>
    <w:p w14:paraId="4D1B5BA3" w14:textId="61790FC4" w:rsidR="00255656" w:rsidRDefault="00BC1F8C" w:rsidP="00C9714A">
      <w:pPr>
        <w:pStyle w:val="LGTdoc1"/>
        <w:spacing w:beforeLines="0" w:before="120" w:after="120" w:afterAutospacing="0"/>
      </w:pPr>
      <w:r w:rsidRPr="003C50F9">
        <w:rPr>
          <w:sz w:val="22"/>
          <w:szCs w:val="22"/>
          <w:lang w:val="en-US"/>
        </w:rPr>
        <w:t>Proposal 2</w:t>
      </w:r>
      <w:r>
        <w:rPr>
          <w:b w:val="0"/>
          <w:sz w:val="22"/>
          <w:szCs w:val="22"/>
          <w:lang w:val="en-US"/>
        </w:rPr>
        <w:t xml:space="preserve">: </w:t>
      </w:r>
      <w:r w:rsidR="003C50F9">
        <w:rPr>
          <w:b w:val="0"/>
          <w:sz w:val="22"/>
          <w:szCs w:val="22"/>
          <w:lang w:val="en-US"/>
        </w:rPr>
        <w:t>NR supports e</w:t>
      </w:r>
      <w:r w:rsidR="00080CF6">
        <w:rPr>
          <w:b w:val="0"/>
          <w:sz w:val="22"/>
          <w:szCs w:val="22"/>
          <w:lang w:val="en-US"/>
        </w:rPr>
        <w:t>xplicit signal</w:t>
      </w:r>
      <w:r w:rsidR="003C50F9" w:rsidRPr="003C50F9">
        <w:rPr>
          <w:b w:val="0"/>
          <w:sz w:val="22"/>
          <w:szCs w:val="22"/>
          <w:lang w:val="en-US"/>
        </w:rPr>
        <w:t>ing t</w:t>
      </w:r>
      <w:r w:rsidR="003C50F9">
        <w:rPr>
          <w:b w:val="0"/>
          <w:sz w:val="22"/>
          <w:szCs w:val="22"/>
          <w:lang w:val="en-US"/>
        </w:rPr>
        <w:t xml:space="preserve">o the UE of the DL RS(s) ID for each </w:t>
      </w:r>
      <w:r w:rsidR="003C50F9" w:rsidRPr="003C50F9">
        <w:rPr>
          <w:b w:val="0"/>
          <w:sz w:val="22"/>
          <w:szCs w:val="22"/>
          <w:lang w:val="en-US"/>
        </w:rPr>
        <w:t>corresponding TCI state</w:t>
      </w:r>
      <w:r w:rsidR="00C9714A">
        <w:rPr>
          <w:rFonts w:eastAsia="SimSun" w:hint="eastAsia"/>
          <w:lang w:eastAsia="zh-CN"/>
        </w:rPr>
        <w:t>.</w:t>
      </w:r>
    </w:p>
    <w:p w14:paraId="0A3AB374" w14:textId="06090130" w:rsidR="00527497" w:rsidRDefault="002872CC" w:rsidP="00245883">
      <w:pPr>
        <w:pStyle w:val="Heading1"/>
        <w:jc w:val="both"/>
        <w:rPr>
          <w:color w:val="000000"/>
        </w:rPr>
      </w:pPr>
      <w:r>
        <w:rPr>
          <w:color w:val="000000"/>
        </w:rPr>
        <w:lastRenderedPageBreak/>
        <w:t>3</w:t>
      </w:r>
      <w:r w:rsidR="00316712">
        <w:rPr>
          <w:color w:val="000000"/>
        </w:rPr>
        <w:t xml:space="preserve">. </w:t>
      </w:r>
      <w:r w:rsidR="00527497">
        <w:rPr>
          <w:color w:val="000000"/>
        </w:rPr>
        <w:t>Conclusions</w:t>
      </w:r>
    </w:p>
    <w:p w14:paraId="39217F64" w14:textId="20D831BF" w:rsidR="00326CFA" w:rsidRDefault="00A23469" w:rsidP="004039D6">
      <w:pPr>
        <w:pStyle w:val="LGTdoc1"/>
        <w:spacing w:beforeLines="0" w:before="120" w:after="120" w:afterAutospacing="0"/>
        <w:rPr>
          <w:b w:val="0"/>
          <w:sz w:val="22"/>
          <w:szCs w:val="22"/>
          <w:lang w:val="en-US"/>
        </w:rPr>
      </w:pPr>
      <w:r w:rsidRPr="004039D6">
        <w:rPr>
          <w:b w:val="0"/>
          <w:sz w:val="22"/>
          <w:szCs w:val="22"/>
          <w:lang w:val="en-US"/>
        </w:rPr>
        <w:t xml:space="preserve">In this contribution, we </w:t>
      </w:r>
      <w:r w:rsidR="0099525B" w:rsidRPr="004039D6">
        <w:rPr>
          <w:b w:val="0"/>
          <w:sz w:val="22"/>
          <w:szCs w:val="22"/>
          <w:lang w:val="en-US"/>
        </w:rPr>
        <w:t xml:space="preserve">discuss </w:t>
      </w:r>
      <w:r w:rsidR="00261115">
        <w:rPr>
          <w:b w:val="0"/>
          <w:sz w:val="22"/>
          <w:szCs w:val="22"/>
          <w:lang w:val="en-US"/>
        </w:rPr>
        <w:t>the configuration and update of TCI states with spatial QCL parameters</w:t>
      </w:r>
      <w:r w:rsidR="0099525B" w:rsidRPr="004039D6">
        <w:rPr>
          <w:b w:val="0"/>
          <w:sz w:val="22"/>
          <w:szCs w:val="22"/>
          <w:lang w:val="en-US"/>
        </w:rPr>
        <w:t>. Based on these discussions</w:t>
      </w:r>
      <w:r w:rsidRPr="004039D6">
        <w:rPr>
          <w:b w:val="0"/>
          <w:sz w:val="22"/>
          <w:szCs w:val="22"/>
          <w:lang w:val="en-US"/>
        </w:rPr>
        <w:t xml:space="preserve">, </w:t>
      </w:r>
      <w:r w:rsidR="0099525B" w:rsidRPr="004039D6">
        <w:rPr>
          <w:b w:val="0"/>
          <w:sz w:val="22"/>
          <w:szCs w:val="22"/>
          <w:lang w:val="en-US"/>
        </w:rPr>
        <w:t>we have the following</w:t>
      </w:r>
      <w:r w:rsidR="00381EAB">
        <w:rPr>
          <w:b w:val="0"/>
          <w:sz w:val="22"/>
          <w:szCs w:val="22"/>
          <w:lang w:val="en-US"/>
        </w:rPr>
        <w:t xml:space="preserve"> </w:t>
      </w:r>
      <w:r w:rsidR="0099525B" w:rsidRPr="004039D6">
        <w:rPr>
          <w:b w:val="0"/>
          <w:sz w:val="22"/>
          <w:szCs w:val="22"/>
          <w:lang w:val="en-US"/>
        </w:rPr>
        <w:t>proposal</w:t>
      </w:r>
      <w:r w:rsidR="00381EAB">
        <w:rPr>
          <w:b w:val="0"/>
          <w:sz w:val="22"/>
          <w:szCs w:val="22"/>
          <w:lang w:val="en-US"/>
        </w:rPr>
        <w:t>s</w:t>
      </w:r>
      <w:r w:rsidR="0099525B" w:rsidRPr="004039D6">
        <w:rPr>
          <w:b w:val="0"/>
          <w:sz w:val="22"/>
          <w:szCs w:val="22"/>
          <w:lang w:val="en-US"/>
        </w:rPr>
        <w:t>:</w:t>
      </w:r>
    </w:p>
    <w:p w14:paraId="3E14E640" w14:textId="40258068" w:rsidR="009C4375" w:rsidRDefault="009C4375" w:rsidP="009C4375">
      <w:pPr>
        <w:pStyle w:val="LGTdoc1"/>
        <w:spacing w:beforeLines="0" w:before="120" w:after="120" w:afterAutospacing="0"/>
        <w:rPr>
          <w:rFonts w:eastAsia="SimSun"/>
          <w:b w:val="0"/>
          <w:sz w:val="22"/>
          <w:szCs w:val="22"/>
          <w:lang w:val="en-US" w:eastAsia="zh-CN"/>
        </w:rPr>
      </w:pPr>
      <w:r w:rsidRPr="00831F9F">
        <w:rPr>
          <w:rFonts w:eastAsia="SimSun" w:hint="eastAsia"/>
          <w:sz w:val="22"/>
          <w:szCs w:val="22"/>
          <w:lang w:val="en-US" w:eastAsia="zh-CN"/>
        </w:rPr>
        <w:t>Proposal</w:t>
      </w:r>
      <w:r w:rsidRPr="00831F9F">
        <w:rPr>
          <w:rFonts w:eastAsia="SimSun"/>
          <w:sz w:val="22"/>
          <w:szCs w:val="22"/>
          <w:lang w:val="en-US" w:eastAsia="zh-CN"/>
        </w:rPr>
        <w:t xml:space="preserve"> 1</w:t>
      </w:r>
      <w:r w:rsidRPr="00831F9F">
        <w:rPr>
          <w:rFonts w:eastAsia="SimSun" w:hint="eastAsia"/>
          <w:sz w:val="22"/>
          <w:szCs w:val="22"/>
          <w:lang w:val="en-US" w:eastAsia="zh-CN"/>
        </w:rPr>
        <w:t>:</w:t>
      </w:r>
      <w:r>
        <w:rPr>
          <w:rFonts w:eastAsia="SimSun" w:hint="eastAsia"/>
          <w:b w:val="0"/>
          <w:sz w:val="22"/>
          <w:szCs w:val="22"/>
          <w:lang w:val="en-US" w:eastAsia="zh-CN"/>
        </w:rPr>
        <w:t xml:space="preserve"> </w:t>
      </w:r>
      <w:r w:rsidRPr="00831F9F">
        <w:rPr>
          <w:rFonts w:eastAsia="SimSun" w:hint="eastAsia"/>
          <w:b w:val="0"/>
          <w:sz w:val="22"/>
          <w:szCs w:val="22"/>
          <w:lang w:val="en-US" w:eastAsia="zh-CN"/>
        </w:rPr>
        <w:t xml:space="preserve">The number of candidate TCI states configured by RRC can be larger than </w:t>
      </w:r>
      <w:r w:rsidRPr="00831F9F">
        <w:rPr>
          <w:rFonts w:eastAsia="MS Mincho"/>
          <w:b w:val="0"/>
          <w:sz w:val="21"/>
          <w:szCs w:val="21"/>
          <w:lang w:val="en-US" w:eastAsia="ja-JP"/>
        </w:rPr>
        <w:t>2</w:t>
      </w:r>
      <w:r w:rsidRPr="00831F9F">
        <w:rPr>
          <w:rFonts w:eastAsia="MS Mincho"/>
          <w:b w:val="0"/>
          <w:sz w:val="21"/>
          <w:szCs w:val="21"/>
          <w:vertAlign w:val="superscript"/>
          <w:lang w:val="en-US" w:eastAsia="ja-JP"/>
        </w:rPr>
        <w:t>N</w:t>
      </w:r>
      <w:r w:rsidRPr="00831F9F">
        <w:rPr>
          <w:rFonts w:eastAsia="SimSun" w:hint="eastAsia"/>
          <w:b w:val="0"/>
          <w:sz w:val="22"/>
          <w:szCs w:val="22"/>
          <w:lang w:val="en-US" w:eastAsia="zh-CN"/>
        </w:rPr>
        <w:t xml:space="preserve">, and </w:t>
      </w:r>
      <w:r w:rsidRPr="00831F9F">
        <w:rPr>
          <w:rFonts w:eastAsia="SimSun"/>
          <w:b w:val="0"/>
          <w:sz w:val="22"/>
          <w:szCs w:val="22"/>
          <w:lang w:val="en-US" w:eastAsia="zh-CN"/>
        </w:rPr>
        <w:t xml:space="preserve">the number of TCI states </w:t>
      </w:r>
      <w:r w:rsidR="003C50F9">
        <w:rPr>
          <w:rFonts w:eastAsia="SimSun"/>
          <w:b w:val="0"/>
          <w:sz w:val="22"/>
          <w:szCs w:val="22"/>
          <w:lang w:val="en-US" w:eastAsia="zh-CN"/>
        </w:rPr>
        <w:t xml:space="preserve">which </w:t>
      </w:r>
      <w:r w:rsidR="009C4C31">
        <w:rPr>
          <w:rFonts w:eastAsia="SimSun"/>
          <w:b w:val="0"/>
          <w:sz w:val="22"/>
          <w:szCs w:val="22"/>
          <w:lang w:val="en-US" w:eastAsia="zh-CN"/>
        </w:rPr>
        <w:t>includ</w:t>
      </w:r>
      <w:r w:rsidR="003C50F9">
        <w:rPr>
          <w:rFonts w:eastAsia="SimSun"/>
          <w:b w:val="0"/>
          <w:sz w:val="22"/>
          <w:szCs w:val="22"/>
          <w:lang w:val="en-US" w:eastAsia="zh-CN"/>
        </w:rPr>
        <w:t>e</w:t>
      </w:r>
      <w:r w:rsidRPr="00831F9F">
        <w:rPr>
          <w:rFonts w:eastAsia="SimSun"/>
          <w:b w:val="0"/>
          <w:sz w:val="22"/>
          <w:szCs w:val="22"/>
          <w:lang w:val="en-US" w:eastAsia="zh-CN"/>
        </w:rPr>
        <w:t xml:space="preserve"> spatial parameters </w:t>
      </w:r>
      <w:r>
        <w:rPr>
          <w:rFonts w:eastAsia="SimSun"/>
          <w:b w:val="0"/>
          <w:sz w:val="22"/>
          <w:szCs w:val="22"/>
          <w:lang w:val="en-US" w:eastAsia="zh-CN"/>
        </w:rPr>
        <w:t>can be</w:t>
      </w:r>
      <w:r w:rsidRPr="00831F9F">
        <w:rPr>
          <w:rFonts w:eastAsia="SimSun"/>
          <w:b w:val="0"/>
          <w:sz w:val="22"/>
          <w:szCs w:val="22"/>
          <w:lang w:val="en-US" w:eastAsia="zh-CN"/>
        </w:rPr>
        <w:t xml:space="preserve"> </w:t>
      </w:r>
      <w:r w:rsidR="003C50F9">
        <w:rPr>
          <w:rFonts w:eastAsia="SimSun"/>
          <w:b w:val="0"/>
          <w:sz w:val="22"/>
          <w:szCs w:val="22"/>
          <w:lang w:val="en-US" w:eastAsia="zh-CN"/>
        </w:rPr>
        <w:t>no larger than</w:t>
      </w:r>
      <w:r w:rsidRPr="00831F9F">
        <w:rPr>
          <w:rFonts w:eastAsia="SimSun"/>
          <w:b w:val="0"/>
          <w:sz w:val="22"/>
          <w:szCs w:val="22"/>
          <w:lang w:val="en-US" w:eastAsia="zh-CN"/>
        </w:rPr>
        <w:t xml:space="preserve"> </w:t>
      </w:r>
      <w:r w:rsidRPr="00831F9F">
        <w:rPr>
          <w:rFonts w:eastAsia="MS Mincho"/>
          <w:b w:val="0"/>
          <w:sz w:val="21"/>
          <w:szCs w:val="21"/>
          <w:lang w:val="en-US" w:eastAsia="ja-JP"/>
        </w:rPr>
        <w:t>2</w:t>
      </w:r>
      <w:r w:rsidRPr="00831F9F">
        <w:rPr>
          <w:rFonts w:eastAsia="MS Mincho"/>
          <w:b w:val="0"/>
          <w:sz w:val="21"/>
          <w:szCs w:val="21"/>
          <w:vertAlign w:val="superscript"/>
          <w:lang w:val="en-US" w:eastAsia="ja-JP"/>
        </w:rPr>
        <w:t>N</w:t>
      </w:r>
      <w:r w:rsidRPr="00831F9F">
        <w:rPr>
          <w:rFonts w:eastAsia="SimSun"/>
          <w:b w:val="0"/>
          <w:sz w:val="22"/>
          <w:szCs w:val="22"/>
          <w:lang w:val="en-US" w:eastAsia="zh-CN"/>
        </w:rPr>
        <w:t>.</w:t>
      </w:r>
    </w:p>
    <w:p w14:paraId="7E7E5DE9" w14:textId="32BDE8DB" w:rsidR="003C50F9" w:rsidRPr="003C50F9" w:rsidRDefault="003C50F9" w:rsidP="004039D6">
      <w:pPr>
        <w:pStyle w:val="LGTdoc1"/>
        <w:spacing w:beforeLines="0" w:before="120" w:after="120" w:afterAutospacing="0"/>
        <w:rPr>
          <w:b w:val="0"/>
          <w:sz w:val="22"/>
          <w:szCs w:val="22"/>
          <w:lang w:val="en-US"/>
        </w:rPr>
      </w:pPr>
      <w:r w:rsidRPr="003C50F9">
        <w:rPr>
          <w:sz w:val="22"/>
          <w:szCs w:val="22"/>
          <w:lang w:val="en-US"/>
        </w:rPr>
        <w:t>Proposal 2</w:t>
      </w:r>
      <w:r>
        <w:rPr>
          <w:b w:val="0"/>
          <w:sz w:val="22"/>
          <w:szCs w:val="22"/>
          <w:lang w:val="en-US"/>
        </w:rPr>
        <w:t>: NR supports e</w:t>
      </w:r>
      <w:r w:rsidR="00080CF6">
        <w:rPr>
          <w:b w:val="0"/>
          <w:sz w:val="22"/>
          <w:szCs w:val="22"/>
          <w:lang w:val="en-US"/>
        </w:rPr>
        <w:t>xplicit signal</w:t>
      </w:r>
      <w:r w:rsidRPr="003C50F9">
        <w:rPr>
          <w:b w:val="0"/>
          <w:sz w:val="22"/>
          <w:szCs w:val="22"/>
          <w:lang w:val="en-US"/>
        </w:rPr>
        <w:t>ing t</w:t>
      </w:r>
      <w:r>
        <w:rPr>
          <w:b w:val="0"/>
          <w:sz w:val="22"/>
          <w:szCs w:val="22"/>
          <w:lang w:val="en-US"/>
        </w:rPr>
        <w:t xml:space="preserve">o the UE of the DL RS(s) ID for each </w:t>
      </w:r>
      <w:r w:rsidRPr="003C50F9">
        <w:rPr>
          <w:b w:val="0"/>
          <w:sz w:val="22"/>
          <w:szCs w:val="22"/>
          <w:lang w:val="en-US"/>
        </w:rPr>
        <w:t>corresponding TCI state</w:t>
      </w:r>
      <w:r>
        <w:rPr>
          <w:b w:val="0"/>
          <w:sz w:val="22"/>
          <w:szCs w:val="22"/>
          <w:lang w:val="en-US"/>
        </w:rPr>
        <w:t>.</w:t>
      </w:r>
    </w:p>
    <w:p w14:paraId="5520E995" w14:textId="77777777" w:rsidR="00B706C7" w:rsidRPr="001B2AB7" w:rsidRDefault="00B706C7" w:rsidP="00245883">
      <w:pPr>
        <w:pStyle w:val="Heading1"/>
        <w:jc w:val="both"/>
        <w:rPr>
          <w:color w:val="000000"/>
        </w:rPr>
      </w:pPr>
      <w:r w:rsidRPr="001B2AB7">
        <w:rPr>
          <w:color w:val="000000"/>
        </w:rPr>
        <w:t>References</w:t>
      </w:r>
    </w:p>
    <w:p w14:paraId="2253B44C" w14:textId="13F6C223" w:rsidR="005336AA" w:rsidRDefault="005336AA" w:rsidP="005336AA">
      <w:pPr>
        <w:pStyle w:val="References"/>
        <w:rPr>
          <w:sz w:val="22"/>
          <w:szCs w:val="22"/>
        </w:rPr>
      </w:pPr>
      <w:r w:rsidRPr="009617FC">
        <w:rPr>
          <w:rFonts w:hint="eastAsia"/>
          <w:sz w:val="22"/>
          <w:szCs w:val="22"/>
          <w:lang w:eastAsia="zh-CN"/>
        </w:rPr>
        <w:t>3GPP RAN1</w:t>
      </w:r>
      <w:r>
        <w:rPr>
          <w:sz w:val="22"/>
          <w:szCs w:val="22"/>
          <w:lang w:eastAsia="zh-CN"/>
        </w:rPr>
        <w:t xml:space="preserve"> #</w:t>
      </w:r>
      <w:r w:rsidR="00715F50">
        <w:rPr>
          <w:sz w:val="22"/>
          <w:szCs w:val="22"/>
          <w:lang w:eastAsia="zh-CN"/>
        </w:rPr>
        <w:t>90</w:t>
      </w:r>
      <w:r>
        <w:rPr>
          <w:sz w:val="22"/>
          <w:szCs w:val="22"/>
          <w:lang w:eastAsia="zh-CN"/>
        </w:rPr>
        <w:t xml:space="preserve"> meeting</w:t>
      </w:r>
      <w:r w:rsidRPr="009617FC">
        <w:rPr>
          <w:sz w:val="22"/>
          <w:szCs w:val="22"/>
        </w:rPr>
        <w:t>,</w:t>
      </w:r>
      <w:r w:rsidRPr="009617FC">
        <w:rPr>
          <w:rFonts w:hint="eastAsia"/>
          <w:sz w:val="22"/>
          <w:szCs w:val="22"/>
          <w:lang w:eastAsia="zh-CN"/>
        </w:rPr>
        <w:t xml:space="preserve"> Chairman</w:t>
      </w:r>
      <w:r w:rsidRPr="009617FC">
        <w:rPr>
          <w:sz w:val="22"/>
          <w:szCs w:val="22"/>
          <w:lang w:eastAsia="zh-CN"/>
        </w:rPr>
        <w:t>’</w:t>
      </w:r>
      <w:r w:rsidRPr="009617FC">
        <w:rPr>
          <w:rFonts w:hint="eastAsia"/>
          <w:sz w:val="22"/>
          <w:szCs w:val="22"/>
          <w:lang w:eastAsia="zh-CN"/>
        </w:rPr>
        <w:t>s note</w:t>
      </w:r>
      <w:r w:rsidRPr="009617FC">
        <w:rPr>
          <w:sz w:val="22"/>
          <w:szCs w:val="22"/>
          <w:lang w:eastAsia="zh-CN"/>
        </w:rPr>
        <w:t>s</w:t>
      </w:r>
      <w:r w:rsidRPr="009617FC">
        <w:rPr>
          <w:sz w:val="22"/>
          <w:szCs w:val="22"/>
        </w:rPr>
        <w:t>,</w:t>
      </w:r>
      <w:r w:rsidRPr="009617FC">
        <w:rPr>
          <w:rFonts w:hint="eastAsia"/>
          <w:sz w:val="22"/>
          <w:szCs w:val="22"/>
          <w:lang w:eastAsia="zh-CN"/>
        </w:rPr>
        <w:t xml:space="preserve"> </w:t>
      </w:r>
      <w:r w:rsidR="00715F50">
        <w:rPr>
          <w:sz w:val="22"/>
          <w:szCs w:val="22"/>
          <w:lang w:eastAsia="zh-CN"/>
        </w:rPr>
        <w:t>August</w:t>
      </w:r>
      <w:r w:rsidRPr="009617FC">
        <w:rPr>
          <w:sz w:val="22"/>
          <w:szCs w:val="22"/>
        </w:rPr>
        <w:t>, 20</w:t>
      </w:r>
      <w:r w:rsidRPr="009617FC">
        <w:rPr>
          <w:sz w:val="22"/>
          <w:szCs w:val="22"/>
          <w:lang w:eastAsia="zh-CN"/>
        </w:rPr>
        <w:t>1</w:t>
      </w:r>
      <w:r>
        <w:rPr>
          <w:sz w:val="22"/>
          <w:szCs w:val="22"/>
          <w:lang w:eastAsia="zh-CN"/>
        </w:rPr>
        <w:t>7</w:t>
      </w:r>
      <w:r w:rsidRPr="009617FC">
        <w:rPr>
          <w:sz w:val="22"/>
          <w:szCs w:val="22"/>
        </w:rPr>
        <w:t>.</w:t>
      </w:r>
    </w:p>
    <w:p w14:paraId="1CF3A5B0" w14:textId="0D7E1A90" w:rsidR="008750AA" w:rsidRDefault="00A65861" w:rsidP="001C65E0">
      <w:pPr>
        <w:pStyle w:val="References"/>
        <w:rPr>
          <w:sz w:val="22"/>
          <w:szCs w:val="22"/>
        </w:rPr>
      </w:pPr>
      <w:r>
        <w:rPr>
          <w:sz w:val="22"/>
          <w:szCs w:val="22"/>
        </w:rPr>
        <w:t>3GPP RAN1 NR Adhoc#3, Chairman’s notes, Sep</w:t>
      </w:r>
      <w:r w:rsidR="001C65E0">
        <w:rPr>
          <w:sz w:val="22"/>
          <w:szCs w:val="22"/>
        </w:rPr>
        <w:t>tember, 2017.</w:t>
      </w:r>
    </w:p>
    <w:p w14:paraId="4E1CD674" w14:textId="29A04C75" w:rsidR="002B2B8E" w:rsidRPr="001C65E0" w:rsidRDefault="002B2B8E" w:rsidP="001C65E0">
      <w:pPr>
        <w:pStyle w:val="References"/>
        <w:rPr>
          <w:sz w:val="22"/>
          <w:szCs w:val="22"/>
        </w:rPr>
      </w:pPr>
      <w:r>
        <w:rPr>
          <w:sz w:val="22"/>
          <w:szCs w:val="22"/>
        </w:rPr>
        <w:t>R1-1716350, “On beam indication, measurement, and reporting,” Ericsson, RAN1 NR Adhoc#3, September, 2017.</w:t>
      </w:r>
    </w:p>
    <w:sectPr w:rsidR="002B2B8E" w:rsidRPr="001C65E0" w:rsidSect="003B56B3">
      <w:footerReference w:type="default" r:id="rId11"/>
      <w:pgSz w:w="11906" w:h="16838"/>
      <w:pgMar w:top="1440" w:right="1440" w:bottom="1440" w:left="1440"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BBAE9D" w15:done="0"/>
  <w15:commentEx w15:paraId="74A56013" w15:paraIdParent="4EBBAE9D" w15:done="0"/>
  <w15:commentEx w15:paraId="4F076CF3" w15:done="0"/>
  <w15:commentEx w15:paraId="6E6B0867" w15:paraIdParent="4F076CF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BFA649" w14:textId="77777777" w:rsidR="00C74B4D" w:rsidRDefault="00C74B4D" w:rsidP="007B0D35">
      <w:r>
        <w:separator/>
      </w:r>
    </w:p>
  </w:endnote>
  <w:endnote w:type="continuationSeparator" w:id="0">
    <w:p w14:paraId="1907A703" w14:textId="77777777" w:rsidR="00C74B4D" w:rsidRDefault="00C74B4D"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SimHei">
    <w:altName w:val="黑体"/>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6524167"/>
      <w:docPartObj>
        <w:docPartGallery w:val="Page Numbers (Bottom of Page)"/>
        <w:docPartUnique/>
      </w:docPartObj>
    </w:sdtPr>
    <w:sdtEndPr>
      <w:rPr>
        <w:noProof/>
      </w:rPr>
    </w:sdtEndPr>
    <w:sdtContent>
      <w:p w14:paraId="5237B18D" w14:textId="3D04B47E" w:rsidR="00994402" w:rsidRDefault="00994402">
        <w:pPr>
          <w:pStyle w:val="Footer"/>
          <w:jc w:val="center"/>
        </w:pPr>
        <w:r>
          <w:fldChar w:fldCharType="begin"/>
        </w:r>
        <w:r>
          <w:instrText xml:space="preserve"> PAGE   \* MERGEFORMAT </w:instrText>
        </w:r>
        <w:r>
          <w:fldChar w:fldCharType="separate"/>
        </w:r>
        <w:r w:rsidR="002E1A43">
          <w:rPr>
            <w:noProof/>
          </w:rPr>
          <w:t>1</w:t>
        </w:r>
        <w:r>
          <w:rPr>
            <w:noProof/>
          </w:rPr>
          <w:fldChar w:fldCharType="end"/>
        </w:r>
      </w:p>
    </w:sdtContent>
  </w:sdt>
  <w:p w14:paraId="1195ED27" w14:textId="77777777" w:rsidR="00994402" w:rsidRDefault="009944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05FAB" w14:textId="77777777" w:rsidR="00C74B4D" w:rsidRDefault="00C74B4D" w:rsidP="007B0D35">
      <w:r>
        <w:separator/>
      </w:r>
    </w:p>
  </w:footnote>
  <w:footnote w:type="continuationSeparator" w:id="0">
    <w:p w14:paraId="62995C17" w14:textId="77777777" w:rsidR="00C74B4D" w:rsidRDefault="00C74B4D"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EB66360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b/>
        <w:i w:val="0"/>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2">
    <w:nsid w:val="0FA2799E"/>
    <w:multiLevelType w:val="hybridMultilevel"/>
    <w:tmpl w:val="0AF4AB46"/>
    <w:lvl w:ilvl="0" w:tplc="0B3673F8">
      <w:start w:val="1"/>
      <w:numFmt w:val="bullet"/>
      <w:lvlText w:val=""/>
      <w:lvlJc w:val="left"/>
      <w:pPr>
        <w:tabs>
          <w:tab w:val="num" w:pos="720"/>
        </w:tabs>
        <w:ind w:left="720" w:hanging="360"/>
      </w:pPr>
      <w:rPr>
        <w:rFonts w:ascii="Wingdings" w:hAnsi="Wingdings" w:hint="default"/>
      </w:rPr>
    </w:lvl>
    <w:lvl w:ilvl="1" w:tplc="74961F1E" w:tentative="1">
      <w:start w:val="1"/>
      <w:numFmt w:val="bullet"/>
      <w:lvlText w:val=""/>
      <w:lvlJc w:val="left"/>
      <w:pPr>
        <w:tabs>
          <w:tab w:val="num" w:pos="1440"/>
        </w:tabs>
        <w:ind w:left="1440" w:hanging="360"/>
      </w:pPr>
      <w:rPr>
        <w:rFonts w:ascii="Wingdings" w:hAnsi="Wingdings" w:hint="default"/>
      </w:rPr>
    </w:lvl>
    <w:lvl w:ilvl="2" w:tplc="12FCCF52" w:tentative="1">
      <w:start w:val="1"/>
      <w:numFmt w:val="bullet"/>
      <w:lvlText w:val=""/>
      <w:lvlJc w:val="left"/>
      <w:pPr>
        <w:tabs>
          <w:tab w:val="num" w:pos="2160"/>
        </w:tabs>
        <w:ind w:left="2160" w:hanging="360"/>
      </w:pPr>
      <w:rPr>
        <w:rFonts w:ascii="Wingdings" w:hAnsi="Wingdings" w:hint="default"/>
      </w:rPr>
    </w:lvl>
    <w:lvl w:ilvl="3" w:tplc="0EC622A0" w:tentative="1">
      <w:start w:val="1"/>
      <w:numFmt w:val="bullet"/>
      <w:lvlText w:val=""/>
      <w:lvlJc w:val="left"/>
      <w:pPr>
        <w:tabs>
          <w:tab w:val="num" w:pos="2880"/>
        </w:tabs>
        <w:ind w:left="2880" w:hanging="360"/>
      </w:pPr>
      <w:rPr>
        <w:rFonts w:ascii="Wingdings" w:hAnsi="Wingdings" w:hint="default"/>
      </w:rPr>
    </w:lvl>
    <w:lvl w:ilvl="4" w:tplc="CB54138C" w:tentative="1">
      <w:start w:val="1"/>
      <w:numFmt w:val="bullet"/>
      <w:lvlText w:val=""/>
      <w:lvlJc w:val="left"/>
      <w:pPr>
        <w:tabs>
          <w:tab w:val="num" w:pos="3600"/>
        </w:tabs>
        <w:ind w:left="3600" w:hanging="360"/>
      </w:pPr>
      <w:rPr>
        <w:rFonts w:ascii="Wingdings" w:hAnsi="Wingdings" w:hint="default"/>
      </w:rPr>
    </w:lvl>
    <w:lvl w:ilvl="5" w:tplc="2826C898" w:tentative="1">
      <w:start w:val="1"/>
      <w:numFmt w:val="bullet"/>
      <w:lvlText w:val=""/>
      <w:lvlJc w:val="left"/>
      <w:pPr>
        <w:tabs>
          <w:tab w:val="num" w:pos="4320"/>
        </w:tabs>
        <w:ind w:left="4320" w:hanging="360"/>
      </w:pPr>
      <w:rPr>
        <w:rFonts w:ascii="Wingdings" w:hAnsi="Wingdings" w:hint="default"/>
      </w:rPr>
    </w:lvl>
    <w:lvl w:ilvl="6" w:tplc="16E49D00" w:tentative="1">
      <w:start w:val="1"/>
      <w:numFmt w:val="bullet"/>
      <w:lvlText w:val=""/>
      <w:lvlJc w:val="left"/>
      <w:pPr>
        <w:tabs>
          <w:tab w:val="num" w:pos="5040"/>
        </w:tabs>
        <w:ind w:left="5040" w:hanging="360"/>
      </w:pPr>
      <w:rPr>
        <w:rFonts w:ascii="Wingdings" w:hAnsi="Wingdings" w:hint="default"/>
      </w:rPr>
    </w:lvl>
    <w:lvl w:ilvl="7" w:tplc="A2A40A8A" w:tentative="1">
      <w:start w:val="1"/>
      <w:numFmt w:val="bullet"/>
      <w:lvlText w:val=""/>
      <w:lvlJc w:val="left"/>
      <w:pPr>
        <w:tabs>
          <w:tab w:val="num" w:pos="5760"/>
        </w:tabs>
        <w:ind w:left="5760" w:hanging="360"/>
      </w:pPr>
      <w:rPr>
        <w:rFonts w:ascii="Wingdings" w:hAnsi="Wingdings" w:hint="default"/>
      </w:rPr>
    </w:lvl>
    <w:lvl w:ilvl="8" w:tplc="D44CF61C" w:tentative="1">
      <w:start w:val="1"/>
      <w:numFmt w:val="bullet"/>
      <w:lvlText w:val=""/>
      <w:lvlJc w:val="left"/>
      <w:pPr>
        <w:tabs>
          <w:tab w:val="num" w:pos="6480"/>
        </w:tabs>
        <w:ind w:left="6480" w:hanging="360"/>
      </w:pPr>
      <w:rPr>
        <w:rFonts w:ascii="Wingdings" w:hAnsi="Wingdings" w:hint="default"/>
      </w:rPr>
    </w:lvl>
  </w:abstractNum>
  <w:abstractNum w:abstractNumId="3">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6EE5739"/>
    <w:multiLevelType w:val="hybridMultilevel"/>
    <w:tmpl w:val="9AFA141C"/>
    <w:lvl w:ilvl="0" w:tplc="5F2C719C">
      <w:start w:val="1"/>
      <w:numFmt w:val="bullet"/>
      <w:lvlText w:val="•"/>
      <w:lvlJc w:val="left"/>
      <w:pPr>
        <w:tabs>
          <w:tab w:val="num" w:pos="720"/>
        </w:tabs>
        <w:ind w:left="720" w:hanging="360"/>
      </w:pPr>
      <w:rPr>
        <w:rFonts w:ascii="Arial" w:hAnsi="Arial" w:hint="default"/>
      </w:rPr>
    </w:lvl>
    <w:lvl w:ilvl="1" w:tplc="D75C8F48">
      <w:start w:val="4"/>
      <w:numFmt w:val="bullet"/>
      <w:lvlText w:val="•"/>
      <w:lvlJc w:val="left"/>
      <w:pPr>
        <w:tabs>
          <w:tab w:val="num" w:pos="1440"/>
        </w:tabs>
        <w:ind w:left="1440" w:hanging="360"/>
      </w:pPr>
      <w:rPr>
        <w:rFonts w:ascii="Times New Roman" w:eastAsia="MS Mincho" w:hAnsi="Times New Roman" w:cs="Times New Roman"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6">
    <w:nsid w:val="255140A3"/>
    <w:multiLevelType w:val="multilevel"/>
    <w:tmpl w:val="C5D87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7A76281"/>
    <w:multiLevelType w:val="hybridMultilevel"/>
    <w:tmpl w:val="90104760"/>
    <w:lvl w:ilvl="0" w:tplc="960E2DC8">
      <w:start w:val="1"/>
      <w:numFmt w:val="bullet"/>
      <w:lvlText w:val="•"/>
      <w:lvlJc w:val="left"/>
      <w:pPr>
        <w:tabs>
          <w:tab w:val="num" w:pos="360"/>
        </w:tabs>
        <w:ind w:left="360" w:hanging="360"/>
      </w:pPr>
      <w:rPr>
        <w:rFonts w:ascii="Arial" w:hAnsi="Arial" w:hint="default"/>
      </w:rPr>
    </w:lvl>
    <w:lvl w:ilvl="1" w:tplc="A91E85E2">
      <w:start w:val="1205"/>
      <w:numFmt w:val="bullet"/>
      <w:lvlText w:val="–"/>
      <w:lvlJc w:val="left"/>
      <w:pPr>
        <w:tabs>
          <w:tab w:val="num" w:pos="1080"/>
        </w:tabs>
        <w:ind w:left="1080" w:hanging="360"/>
      </w:pPr>
      <w:rPr>
        <w:rFonts w:ascii="Arial" w:hAnsi="Arial" w:hint="default"/>
      </w:rPr>
    </w:lvl>
    <w:lvl w:ilvl="2" w:tplc="903CC70E">
      <w:start w:val="1"/>
      <w:numFmt w:val="bullet"/>
      <w:lvlText w:val="•"/>
      <w:lvlJc w:val="left"/>
      <w:pPr>
        <w:tabs>
          <w:tab w:val="num" w:pos="1800"/>
        </w:tabs>
        <w:ind w:left="1800" w:hanging="360"/>
      </w:pPr>
      <w:rPr>
        <w:rFonts w:ascii="Arial" w:hAnsi="Arial" w:hint="default"/>
      </w:rPr>
    </w:lvl>
    <w:lvl w:ilvl="3" w:tplc="0908E4BE" w:tentative="1">
      <w:start w:val="1"/>
      <w:numFmt w:val="bullet"/>
      <w:lvlText w:val="•"/>
      <w:lvlJc w:val="left"/>
      <w:pPr>
        <w:tabs>
          <w:tab w:val="num" w:pos="2520"/>
        </w:tabs>
        <w:ind w:left="2520" w:hanging="360"/>
      </w:pPr>
      <w:rPr>
        <w:rFonts w:ascii="Arial" w:hAnsi="Arial" w:hint="default"/>
      </w:rPr>
    </w:lvl>
    <w:lvl w:ilvl="4" w:tplc="0FE62A16" w:tentative="1">
      <w:start w:val="1"/>
      <w:numFmt w:val="bullet"/>
      <w:lvlText w:val="•"/>
      <w:lvlJc w:val="left"/>
      <w:pPr>
        <w:tabs>
          <w:tab w:val="num" w:pos="3240"/>
        </w:tabs>
        <w:ind w:left="3240" w:hanging="360"/>
      </w:pPr>
      <w:rPr>
        <w:rFonts w:ascii="Arial" w:hAnsi="Arial" w:hint="default"/>
      </w:rPr>
    </w:lvl>
    <w:lvl w:ilvl="5" w:tplc="DC567B92" w:tentative="1">
      <w:start w:val="1"/>
      <w:numFmt w:val="bullet"/>
      <w:lvlText w:val="•"/>
      <w:lvlJc w:val="left"/>
      <w:pPr>
        <w:tabs>
          <w:tab w:val="num" w:pos="3960"/>
        </w:tabs>
        <w:ind w:left="3960" w:hanging="360"/>
      </w:pPr>
      <w:rPr>
        <w:rFonts w:ascii="Arial" w:hAnsi="Arial" w:hint="default"/>
      </w:rPr>
    </w:lvl>
    <w:lvl w:ilvl="6" w:tplc="F176F0A8" w:tentative="1">
      <w:start w:val="1"/>
      <w:numFmt w:val="bullet"/>
      <w:lvlText w:val="•"/>
      <w:lvlJc w:val="left"/>
      <w:pPr>
        <w:tabs>
          <w:tab w:val="num" w:pos="4680"/>
        </w:tabs>
        <w:ind w:left="4680" w:hanging="360"/>
      </w:pPr>
      <w:rPr>
        <w:rFonts w:ascii="Arial" w:hAnsi="Arial" w:hint="default"/>
      </w:rPr>
    </w:lvl>
    <w:lvl w:ilvl="7" w:tplc="E8F6D3AE" w:tentative="1">
      <w:start w:val="1"/>
      <w:numFmt w:val="bullet"/>
      <w:lvlText w:val="•"/>
      <w:lvlJc w:val="left"/>
      <w:pPr>
        <w:tabs>
          <w:tab w:val="num" w:pos="5400"/>
        </w:tabs>
        <w:ind w:left="5400" w:hanging="360"/>
      </w:pPr>
      <w:rPr>
        <w:rFonts w:ascii="Arial" w:hAnsi="Arial" w:hint="default"/>
      </w:rPr>
    </w:lvl>
    <w:lvl w:ilvl="8" w:tplc="3364DD0A" w:tentative="1">
      <w:start w:val="1"/>
      <w:numFmt w:val="bullet"/>
      <w:lvlText w:val="•"/>
      <w:lvlJc w:val="left"/>
      <w:pPr>
        <w:tabs>
          <w:tab w:val="num" w:pos="6120"/>
        </w:tabs>
        <w:ind w:left="6120" w:hanging="360"/>
      </w:pPr>
      <w:rPr>
        <w:rFonts w:ascii="Arial" w:hAnsi="Arial" w:hint="default"/>
      </w:rPr>
    </w:lvl>
  </w:abstractNum>
  <w:abstractNum w:abstractNumId="8">
    <w:nsid w:val="294A39C9"/>
    <w:multiLevelType w:val="hybridMultilevel"/>
    <w:tmpl w:val="37A8991E"/>
    <w:lvl w:ilvl="0" w:tplc="93629560">
      <w:start w:val="1"/>
      <w:numFmt w:val="bullet"/>
      <w:lvlText w:val=""/>
      <w:lvlJc w:val="left"/>
      <w:pPr>
        <w:tabs>
          <w:tab w:val="num" w:pos="720"/>
        </w:tabs>
        <w:ind w:left="720" w:hanging="360"/>
      </w:pPr>
      <w:rPr>
        <w:rFonts w:ascii="Wingdings" w:hAnsi="Wingdings" w:hint="default"/>
      </w:rPr>
    </w:lvl>
    <w:lvl w:ilvl="1" w:tplc="331C2366" w:tentative="1">
      <w:start w:val="1"/>
      <w:numFmt w:val="bullet"/>
      <w:lvlText w:val=""/>
      <w:lvlJc w:val="left"/>
      <w:pPr>
        <w:tabs>
          <w:tab w:val="num" w:pos="1440"/>
        </w:tabs>
        <w:ind w:left="1440" w:hanging="360"/>
      </w:pPr>
      <w:rPr>
        <w:rFonts w:ascii="Wingdings" w:hAnsi="Wingdings" w:hint="default"/>
      </w:rPr>
    </w:lvl>
    <w:lvl w:ilvl="2" w:tplc="5D1EAF86" w:tentative="1">
      <w:start w:val="1"/>
      <w:numFmt w:val="bullet"/>
      <w:lvlText w:val=""/>
      <w:lvlJc w:val="left"/>
      <w:pPr>
        <w:tabs>
          <w:tab w:val="num" w:pos="2160"/>
        </w:tabs>
        <w:ind w:left="2160" w:hanging="360"/>
      </w:pPr>
      <w:rPr>
        <w:rFonts w:ascii="Wingdings" w:hAnsi="Wingdings" w:hint="default"/>
      </w:rPr>
    </w:lvl>
    <w:lvl w:ilvl="3" w:tplc="4434EC90" w:tentative="1">
      <w:start w:val="1"/>
      <w:numFmt w:val="bullet"/>
      <w:lvlText w:val=""/>
      <w:lvlJc w:val="left"/>
      <w:pPr>
        <w:tabs>
          <w:tab w:val="num" w:pos="2880"/>
        </w:tabs>
        <w:ind w:left="2880" w:hanging="360"/>
      </w:pPr>
      <w:rPr>
        <w:rFonts w:ascii="Wingdings" w:hAnsi="Wingdings" w:hint="default"/>
      </w:rPr>
    </w:lvl>
    <w:lvl w:ilvl="4" w:tplc="07FE19BC" w:tentative="1">
      <w:start w:val="1"/>
      <w:numFmt w:val="bullet"/>
      <w:lvlText w:val=""/>
      <w:lvlJc w:val="left"/>
      <w:pPr>
        <w:tabs>
          <w:tab w:val="num" w:pos="3600"/>
        </w:tabs>
        <w:ind w:left="3600" w:hanging="360"/>
      </w:pPr>
      <w:rPr>
        <w:rFonts w:ascii="Wingdings" w:hAnsi="Wingdings" w:hint="default"/>
      </w:rPr>
    </w:lvl>
    <w:lvl w:ilvl="5" w:tplc="9DE2964A" w:tentative="1">
      <w:start w:val="1"/>
      <w:numFmt w:val="bullet"/>
      <w:lvlText w:val=""/>
      <w:lvlJc w:val="left"/>
      <w:pPr>
        <w:tabs>
          <w:tab w:val="num" w:pos="4320"/>
        </w:tabs>
        <w:ind w:left="4320" w:hanging="360"/>
      </w:pPr>
      <w:rPr>
        <w:rFonts w:ascii="Wingdings" w:hAnsi="Wingdings" w:hint="default"/>
      </w:rPr>
    </w:lvl>
    <w:lvl w:ilvl="6" w:tplc="2BB8B388" w:tentative="1">
      <w:start w:val="1"/>
      <w:numFmt w:val="bullet"/>
      <w:lvlText w:val=""/>
      <w:lvlJc w:val="left"/>
      <w:pPr>
        <w:tabs>
          <w:tab w:val="num" w:pos="5040"/>
        </w:tabs>
        <w:ind w:left="5040" w:hanging="360"/>
      </w:pPr>
      <w:rPr>
        <w:rFonts w:ascii="Wingdings" w:hAnsi="Wingdings" w:hint="default"/>
      </w:rPr>
    </w:lvl>
    <w:lvl w:ilvl="7" w:tplc="EC40F1A0" w:tentative="1">
      <w:start w:val="1"/>
      <w:numFmt w:val="bullet"/>
      <w:lvlText w:val=""/>
      <w:lvlJc w:val="left"/>
      <w:pPr>
        <w:tabs>
          <w:tab w:val="num" w:pos="5760"/>
        </w:tabs>
        <w:ind w:left="5760" w:hanging="360"/>
      </w:pPr>
      <w:rPr>
        <w:rFonts w:ascii="Wingdings" w:hAnsi="Wingdings" w:hint="default"/>
      </w:rPr>
    </w:lvl>
    <w:lvl w:ilvl="8" w:tplc="0AEC4976" w:tentative="1">
      <w:start w:val="1"/>
      <w:numFmt w:val="bullet"/>
      <w:lvlText w:val=""/>
      <w:lvlJc w:val="left"/>
      <w:pPr>
        <w:tabs>
          <w:tab w:val="num" w:pos="6480"/>
        </w:tabs>
        <w:ind w:left="6480" w:hanging="360"/>
      </w:pPr>
      <w:rPr>
        <w:rFonts w:ascii="Wingdings" w:hAnsi="Wingdings" w:hint="default"/>
      </w:rPr>
    </w:lvl>
  </w:abstractNum>
  <w:abstractNum w:abstractNumId="9">
    <w:nsid w:val="2B447D5F"/>
    <w:multiLevelType w:val="hybridMultilevel"/>
    <w:tmpl w:val="D6E83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nsid w:val="2EE714FF"/>
    <w:multiLevelType w:val="hybridMultilevel"/>
    <w:tmpl w:val="45BEE30C"/>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4">
    <w:nsid w:val="37894BF7"/>
    <w:multiLevelType w:val="hybridMultilevel"/>
    <w:tmpl w:val="F24CE944"/>
    <w:lvl w:ilvl="0" w:tplc="CAFCB808">
      <w:start w:val="1"/>
      <w:numFmt w:val="bullet"/>
      <w:lvlText w:val="•"/>
      <w:lvlJc w:val="left"/>
      <w:pPr>
        <w:ind w:left="1260" w:hanging="420"/>
      </w:pPr>
      <w:rPr>
        <w:rFonts w:ascii="MS PGothic" w:hAnsi="MS PGothic"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6">
    <w:nsid w:val="38CA4FC8"/>
    <w:multiLevelType w:val="hybridMultilevel"/>
    <w:tmpl w:val="E8E0A1B8"/>
    <w:lvl w:ilvl="0" w:tplc="86D6258A">
      <w:start w:val="1"/>
      <w:numFmt w:val="bullet"/>
      <w:lvlText w:val=""/>
      <w:lvlJc w:val="left"/>
      <w:pPr>
        <w:tabs>
          <w:tab w:val="num" w:pos="720"/>
        </w:tabs>
        <w:ind w:left="720" w:hanging="360"/>
      </w:pPr>
      <w:rPr>
        <w:rFonts w:ascii="Wingdings" w:hAnsi="Wingdings" w:hint="default"/>
      </w:rPr>
    </w:lvl>
    <w:lvl w:ilvl="1" w:tplc="9C0610B2">
      <w:start w:val="1"/>
      <w:numFmt w:val="bullet"/>
      <w:lvlText w:val=""/>
      <w:lvlJc w:val="left"/>
      <w:pPr>
        <w:tabs>
          <w:tab w:val="num" w:pos="1440"/>
        </w:tabs>
        <w:ind w:left="1440" w:hanging="360"/>
      </w:pPr>
      <w:rPr>
        <w:rFonts w:ascii="Wingdings" w:hAnsi="Wingdings" w:hint="default"/>
      </w:rPr>
    </w:lvl>
    <w:lvl w:ilvl="2" w:tplc="FEBAD0EC" w:tentative="1">
      <w:start w:val="1"/>
      <w:numFmt w:val="bullet"/>
      <w:lvlText w:val=""/>
      <w:lvlJc w:val="left"/>
      <w:pPr>
        <w:tabs>
          <w:tab w:val="num" w:pos="2160"/>
        </w:tabs>
        <w:ind w:left="2160" w:hanging="360"/>
      </w:pPr>
      <w:rPr>
        <w:rFonts w:ascii="Wingdings" w:hAnsi="Wingdings" w:hint="default"/>
      </w:rPr>
    </w:lvl>
    <w:lvl w:ilvl="3" w:tplc="79F88064" w:tentative="1">
      <w:start w:val="1"/>
      <w:numFmt w:val="bullet"/>
      <w:lvlText w:val=""/>
      <w:lvlJc w:val="left"/>
      <w:pPr>
        <w:tabs>
          <w:tab w:val="num" w:pos="2880"/>
        </w:tabs>
        <w:ind w:left="2880" w:hanging="360"/>
      </w:pPr>
      <w:rPr>
        <w:rFonts w:ascii="Wingdings" w:hAnsi="Wingdings" w:hint="default"/>
      </w:rPr>
    </w:lvl>
    <w:lvl w:ilvl="4" w:tplc="026C652A" w:tentative="1">
      <w:start w:val="1"/>
      <w:numFmt w:val="bullet"/>
      <w:lvlText w:val=""/>
      <w:lvlJc w:val="left"/>
      <w:pPr>
        <w:tabs>
          <w:tab w:val="num" w:pos="3600"/>
        </w:tabs>
        <w:ind w:left="3600" w:hanging="360"/>
      </w:pPr>
      <w:rPr>
        <w:rFonts w:ascii="Wingdings" w:hAnsi="Wingdings" w:hint="default"/>
      </w:rPr>
    </w:lvl>
    <w:lvl w:ilvl="5" w:tplc="71B82B96" w:tentative="1">
      <w:start w:val="1"/>
      <w:numFmt w:val="bullet"/>
      <w:lvlText w:val=""/>
      <w:lvlJc w:val="left"/>
      <w:pPr>
        <w:tabs>
          <w:tab w:val="num" w:pos="4320"/>
        </w:tabs>
        <w:ind w:left="4320" w:hanging="360"/>
      </w:pPr>
      <w:rPr>
        <w:rFonts w:ascii="Wingdings" w:hAnsi="Wingdings" w:hint="default"/>
      </w:rPr>
    </w:lvl>
    <w:lvl w:ilvl="6" w:tplc="9558B6AA" w:tentative="1">
      <w:start w:val="1"/>
      <w:numFmt w:val="bullet"/>
      <w:lvlText w:val=""/>
      <w:lvlJc w:val="left"/>
      <w:pPr>
        <w:tabs>
          <w:tab w:val="num" w:pos="5040"/>
        </w:tabs>
        <w:ind w:left="5040" w:hanging="360"/>
      </w:pPr>
      <w:rPr>
        <w:rFonts w:ascii="Wingdings" w:hAnsi="Wingdings" w:hint="default"/>
      </w:rPr>
    </w:lvl>
    <w:lvl w:ilvl="7" w:tplc="2C4CA6F6" w:tentative="1">
      <w:start w:val="1"/>
      <w:numFmt w:val="bullet"/>
      <w:lvlText w:val=""/>
      <w:lvlJc w:val="left"/>
      <w:pPr>
        <w:tabs>
          <w:tab w:val="num" w:pos="5760"/>
        </w:tabs>
        <w:ind w:left="5760" w:hanging="360"/>
      </w:pPr>
      <w:rPr>
        <w:rFonts w:ascii="Wingdings" w:hAnsi="Wingdings" w:hint="default"/>
      </w:rPr>
    </w:lvl>
    <w:lvl w:ilvl="8" w:tplc="D5F23A86" w:tentative="1">
      <w:start w:val="1"/>
      <w:numFmt w:val="bullet"/>
      <w:lvlText w:val=""/>
      <w:lvlJc w:val="left"/>
      <w:pPr>
        <w:tabs>
          <w:tab w:val="num" w:pos="6480"/>
        </w:tabs>
        <w:ind w:left="6480" w:hanging="360"/>
      </w:pPr>
      <w:rPr>
        <w:rFonts w:ascii="Wingdings" w:hAnsi="Wingdings" w:hint="default"/>
      </w:rPr>
    </w:lvl>
  </w:abstractNum>
  <w:abstractNum w:abstractNumId="17">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1">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4">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5">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7">
    <w:nsid w:val="4B303495"/>
    <w:multiLevelType w:val="hybridMultilevel"/>
    <w:tmpl w:val="F0C665E2"/>
    <w:lvl w:ilvl="0" w:tplc="2E640FDA">
      <w:start w:val="1"/>
      <w:numFmt w:val="bullet"/>
      <w:lvlText w:val=""/>
      <w:lvlJc w:val="left"/>
      <w:pPr>
        <w:tabs>
          <w:tab w:val="num" w:pos="720"/>
        </w:tabs>
        <w:ind w:left="720" w:hanging="360"/>
      </w:pPr>
      <w:rPr>
        <w:rFonts w:ascii="Wingdings" w:hAnsi="Wingdings" w:hint="default"/>
      </w:rPr>
    </w:lvl>
    <w:lvl w:ilvl="1" w:tplc="74E84EDC">
      <w:start w:val="1"/>
      <w:numFmt w:val="bullet"/>
      <w:lvlText w:val=""/>
      <w:lvlJc w:val="left"/>
      <w:pPr>
        <w:tabs>
          <w:tab w:val="num" w:pos="1440"/>
        </w:tabs>
        <w:ind w:left="1440" w:hanging="360"/>
      </w:pPr>
      <w:rPr>
        <w:rFonts w:ascii="Wingdings" w:hAnsi="Wingdings" w:hint="default"/>
      </w:rPr>
    </w:lvl>
    <w:lvl w:ilvl="2" w:tplc="A7EA3594" w:tentative="1">
      <w:start w:val="1"/>
      <w:numFmt w:val="bullet"/>
      <w:lvlText w:val=""/>
      <w:lvlJc w:val="left"/>
      <w:pPr>
        <w:tabs>
          <w:tab w:val="num" w:pos="2160"/>
        </w:tabs>
        <w:ind w:left="2160" w:hanging="360"/>
      </w:pPr>
      <w:rPr>
        <w:rFonts w:ascii="Wingdings" w:hAnsi="Wingdings" w:hint="default"/>
      </w:rPr>
    </w:lvl>
    <w:lvl w:ilvl="3" w:tplc="E7CE4F72" w:tentative="1">
      <w:start w:val="1"/>
      <w:numFmt w:val="bullet"/>
      <w:lvlText w:val=""/>
      <w:lvlJc w:val="left"/>
      <w:pPr>
        <w:tabs>
          <w:tab w:val="num" w:pos="2880"/>
        </w:tabs>
        <w:ind w:left="2880" w:hanging="360"/>
      </w:pPr>
      <w:rPr>
        <w:rFonts w:ascii="Wingdings" w:hAnsi="Wingdings" w:hint="default"/>
      </w:rPr>
    </w:lvl>
    <w:lvl w:ilvl="4" w:tplc="5E2291CC" w:tentative="1">
      <w:start w:val="1"/>
      <w:numFmt w:val="bullet"/>
      <w:lvlText w:val=""/>
      <w:lvlJc w:val="left"/>
      <w:pPr>
        <w:tabs>
          <w:tab w:val="num" w:pos="3600"/>
        </w:tabs>
        <w:ind w:left="3600" w:hanging="360"/>
      </w:pPr>
      <w:rPr>
        <w:rFonts w:ascii="Wingdings" w:hAnsi="Wingdings" w:hint="default"/>
      </w:rPr>
    </w:lvl>
    <w:lvl w:ilvl="5" w:tplc="C19E5B12" w:tentative="1">
      <w:start w:val="1"/>
      <w:numFmt w:val="bullet"/>
      <w:lvlText w:val=""/>
      <w:lvlJc w:val="left"/>
      <w:pPr>
        <w:tabs>
          <w:tab w:val="num" w:pos="4320"/>
        </w:tabs>
        <w:ind w:left="4320" w:hanging="360"/>
      </w:pPr>
      <w:rPr>
        <w:rFonts w:ascii="Wingdings" w:hAnsi="Wingdings" w:hint="default"/>
      </w:rPr>
    </w:lvl>
    <w:lvl w:ilvl="6" w:tplc="24FEA762" w:tentative="1">
      <w:start w:val="1"/>
      <w:numFmt w:val="bullet"/>
      <w:lvlText w:val=""/>
      <w:lvlJc w:val="left"/>
      <w:pPr>
        <w:tabs>
          <w:tab w:val="num" w:pos="5040"/>
        </w:tabs>
        <w:ind w:left="5040" w:hanging="360"/>
      </w:pPr>
      <w:rPr>
        <w:rFonts w:ascii="Wingdings" w:hAnsi="Wingdings" w:hint="default"/>
      </w:rPr>
    </w:lvl>
    <w:lvl w:ilvl="7" w:tplc="02108040" w:tentative="1">
      <w:start w:val="1"/>
      <w:numFmt w:val="bullet"/>
      <w:lvlText w:val=""/>
      <w:lvlJc w:val="left"/>
      <w:pPr>
        <w:tabs>
          <w:tab w:val="num" w:pos="5760"/>
        </w:tabs>
        <w:ind w:left="5760" w:hanging="360"/>
      </w:pPr>
      <w:rPr>
        <w:rFonts w:ascii="Wingdings" w:hAnsi="Wingdings" w:hint="default"/>
      </w:rPr>
    </w:lvl>
    <w:lvl w:ilvl="8" w:tplc="AAD2A75C" w:tentative="1">
      <w:start w:val="1"/>
      <w:numFmt w:val="bullet"/>
      <w:lvlText w:val=""/>
      <w:lvlJc w:val="left"/>
      <w:pPr>
        <w:tabs>
          <w:tab w:val="num" w:pos="6480"/>
        </w:tabs>
        <w:ind w:left="6480" w:hanging="360"/>
      </w:pPr>
      <w:rPr>
        <w:rFonts w:ascii="Wingdings" w:hAnsi="Wingdings" w:hint="default"/>
      </w:rPr>
    </w:lvl>
  </w:abstractNum>
  <w:abstractNum w:abstractNumId="28">
    <w:nsid w:val="4D7251B3"/>
    <w:multiLevelType w:val="hybridMultilevel"/>
    <w:tmpl w:val="327ACA20"/>
    <w:lvl w:ilvl="0" w:tplc="DDCA14E6">
      <w:start w:val="1"/>
      <w:numFmt w:val="bullet"/>
      <w:lvlText w:val="•"/>
      <w:lvlJc w:val="left"/>
      <w:pPr>
        <w:tabs>
          <w:tab w:val="num" w:pos="720"/>
        </w:tabs>
        <w:ind w:left="720" w:hanging="360"/>
      </w:pPr>
      <w:rPr>
        <w:rFonts w:ascii="SimSun" w:hAnsi="SimSun" w:hint="default"/>
      </w:rPr>
    </w:lvl>
    <w:lvl w:ilvl="1" w:tplc="F98E7086" w:tentative="1">
      <w:start w:val="1"/>
      <w:numFmt w:val="bullet"/>
      <w:lvlText w:val="•"/>
      <w:lvlJc w:val="left"/>
      <w:pPr>
        <w:tabs>
          <w:tab w:val="num" w:pos="1440"/>
        </w:tabs>
        <w:ind w:left="1440" w:hanging="360"/>
      </w:pPr>
      <w:rPr>
        <w:rFonts w:ascii="SimSun" w:hAnsi="SimSun" w:hint="default"/>
      </w:rPr>
    </w:lvl>
    <w:lvl w:ilvl="2" w:tplc="3838059C">
      <w:start w:val="1"/>
      <w:numFmt w:val="bullet"/>
      <w:lvlText w:val="•"/>
      <w:lvlJc w:val="left"/>
      <w:pPr>
        <w:tabs>
          <w:tab w:val="num" w:pos="2160"/>
        </w:tabs>
        <w:ind w:left="2160" w:hanging="360"/>
      </w:pPr>
      <w:rPr>
        <w:rFonts w:ascii="SimSun" w:hAnsi="SimSun" w:hint="default"/>
      </w:rPr>
    </w:lvl>
    <w:lvl w:ilvl="3" w:tplc="8AA43F10" w:tentative="1">
      <w:start w:val="1"/>
      <w:numFmt w:val="bullet"/>
      <w:lvlText w:val="•"/>
      <w:lvlJc w:val="left"/>
      <w:pPr>
        <w:tabs>
          <w:tab w:val="num" w:pos="2880"/>
        </w:tabs>
        <w:ind w:left="2880" w:hanging="360"/>
      </w:pPr>
      <w:rPr>
        <w:rFonts w:ascii="SimSun" w:hAnsi="SimSun" w:hint="default"/>
      </w:rPr>
    </w:lvl>
    <w:lvl w:ilvl="4" w:tplc="C1A6A8A8" w:tentative="1">
      <w:start w:val="1"/>
      <w:numFmt w:val="bullet"/>
      <w:lvlText w:val="•"/>
      <w:lvlJc w:val="left"/>
      <w:pPr>
        <w:tabs>
          <w:tab w:val="num" w:pos="3600"/>
        </w:tabs>
        <w:ind w:left="3600" w:hanging="360"/>
      </w:pPr>
      <w:rPr>
        <w:rFonts w:ascii="SimSun" w:hAnsi="SimSun" w:hint="default"/>
      </w:rPr>
    </w:lvl>
    <w:lvl w:ilvl="5" w:tplc="C336A2D0" w:tentative="1">
      <w:start w:val="1"/>
      <w:numFmt w:val="bullet"/>
      <w:lvlText w:val="•"/>
      <w:lvlJc w:val="left"/>
      <w:pPr>
        <w:tabs>
          <w:tab w:val="num" w:pos="4320"/>
        </w:tabs>
        <w:ind w:left="4320" w:hanging="360"/>
      </w:pPr>
      <w:rPr>
        <w:rFonts w:ascii="SimSun" w:hAnsi="SimSun" w:hint="default"/>
      </w:rPr>
    </w:lvl>
    <w:lvl w:ilvl="6" w:tplc="9DDC9DC6" w:tentative="1">
      <w:start w:val="1"/>
      <w:numFmt w:val="bullet"/>
      <w:lvlText w:val="•"/>
      <w:lvlJc w:val="left"/>
      <w:pPr>
        <w:tabs>
          <w:tab w:val="num" w:pos="5040"/>
        </w:tabs>
        <w:ind w:left="5040" w:hanging="360"/>
      </w:pPr>
      <w:rPr>
        <w:rFonts w:ascii="SimSun" w:hAnsi="SimSun" w:hint="default"/>
      </w:rPr>
    </w:lvl>
    <w:lvl w:ilvl="7" w:tplc="55C28374" w:tentative="1">
      <w:start w:val="1"/>
      <w:numFmt w:val="bullet"/>
      <w:lvlText w:val="•"/>
      <w:lvlJc w:val="left"/>
      <w:pPr>
        <w:tabs>
          <w:tab w:val="num" w:pos="5760"/>
        </w:tabs>
        <w:ind w:left="5760" w:hanging="360"/>
      </w:pPr>
      <w:rPr>
        <w:rFonts w:ascii="SimSun" w:hAnsi="SimSun" w:hint="default"/>
      </w:rPr>
    </w:lvl>
    <w:lvl w:ilvl="8" w:tplc="60A6285E" w:tentative="1">
      <w:start w:val="1"/>
      <w:numFmt w:val="bullet"/>
      <w:lvlText w:val="•"/>
      <w:lvlJc w:val="left"/>
      <w:pPr>
        <w:tabs>
          <w:tab w:val="num" w:pos="6480"/>
        </w:tabs>
        <w:ind w:left="6480" w:hanging="360"/>
      </w:pPr>
      <w:rPr>
        <w:rFonts w:ascii="SimSun" w:hAnsi="SimSun" w:hint="default"/>
      </w:rPr>
    </w:lvl>
  </w:abstractNum>
  <w:abstractNum w:abstractNumId="29">
    <w:nsid w:val="5294460D"/>
    <w:multiLevelType w:val="hybridMultilevel"/>
    <w:tmpl w:val="5372B9FE"/>
    <w:lvl w:ilvl="0" w:tplc="53D47E1A">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7442375"/>
    <w:multiLevelType w:val="multilevel"/>
    <w:tmpl w:val="A0EAC5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5E6B7760"/>
    <w:multiLevelType w:val="hybridMultilevel"/>
    <w:tmpl w:val="0552932A"/>
    <w:lvl w:ilvl="0" w:tplc="3D7660D4">
      <w:start w:val="1"/>
      <w:numFmt w:val="bullet"/>
      <w:lvlText w:val=""/>
      <w:lvlJc w:val="left"/>
      <w:pPr>
        <w:tabs>
          <w:tab w:val="num" w:pos="720"/>
        </w:tabs>
        <w:ind w:left="720" w:hanging="360"/>
      </w:pPr>
      <w:rPr>
        <w:rFonts w:ascii="Wingdings" w:hAnsi="Wingdings" w:hint="default"/>
      </w:rPr>
    </w:lvl>
    <w:lvl w:ilvl="1" w:tplc="36EC7FCC" w:tentative="1">
      <w:start w:val="1"/>
      <w:numFmt w:val="bullet"/>
      <w:lvlText w:val=""/>
      <w:lvlJc w:val="left"/>
      <w:pPr>
        <w:tabs>
          <w:tab w:val="num" w:pos="1440"/>
        </w:tabs>
        <w:ind w:left="1440" w:hanging="360"/>
      </w:pPr>
      <w:rPr>
        <w:rFonts w:ascii="Wingdings" w:hAnsi="Wingdings" w:hint="default"/>
      </w:rPr>
    </w:lvl>
    <w:lvl w:ilvl="2" w:tplc="465A6C00" w:tentative="1">
      <w:start w:val="1"/>
      <w:numFmt w:val="bullet"/>
      <w:lvlText w:val=""/>
      <w:lvlJc w:val="left"/>
      <w:pPr>
        <w:tabs>
          <w:tab w:val="num" w:pos="2160"/>
        </w:tabs>
        <w:ind w:left="2160" w:hanging="360"/>
      </w:pPr>
      <w:rPr>
        <w:rFonts w:ascii="Wingdings" w:hAnsi="Wingdings" w:hint="default"/>
      </w:rPr>
    </w:lvl>
    <w:lvl w:ilvl="3" w:tplc="A88C78CC" w:tentative="1">
      <w:start w:val="1"/>
      <w:numFmt w:val="bullet"/>
      <w:lvlText w:val=""/>
      <w:lvlJc w:val="left"/>
      <w:pPr>
        <w:tabs>
          <w:tab w:val="num" w:pos="2880"/>
        </w:tabs>
        <w:ind w:left="2880" w:hanging="360"/>
      </w:pPr>
      <w:rPr>
        <w:rFonts w:ascii="Wingdings" w:hAnsi="Wingdings" w:hint="default"/>
      </w:rPr>
    </w:lvl>
    <w:lvl w:ilvl="4" w:tplc="9718EE82" w:tentative="1">
      <w:start w:val="1"/>
      <w:numFmt w:val="bullet"/>
      <w:lvlText w:val=""/>
      <w:lvlJc w:val="left"/>
      <w:pPr>
        <w:tabs>
          <w:tab w:val="num" w:pos="3600"/>
        </w:tabs>
        <w:ind w:left="3600" w:hanging="360"/>
      </w:pPr>
      <w:rPr>
        <w:rFonts w:ascii="Wingdings" w:hAnsi="Wingdings" w:hint="default"/>
      </w:rPr>
    </w:lvl>
    <w:lvl w:ilvl="5" w:tplc="A9C8E852" w:tentative="1">
      <w:start w:val="1"/>
      <w:numFmt w:val="bullet"/>
      <w:lvlText w:val=""/>
      <w:lvlJc w:val="left"/>
      <w:pPr>
        <w:tabs>
          <w:tab w:val="num" w:pos="4320"/>
        </w:tabs>
        <w:ind w:left="4320" w:hanging="360"/>
      </w:pPr>
      <w:rPr>
        <w:rFonts w:ascii="Wingdings" w:hAnsi="Wingdings" w:hint="default"/>
      </w:rPr>
    </w:lvl>
    <w:lvl w:ilvl="6" w:tplc="3E1C2A1E" w:tentative="1">
      <w:start w:val="1"/>
      <w:numFmt w:val="bullet"/>
      <w:lvlText w:val=""/>
      <w:lvlJc w:val="left"/>
      <w:pPr>
        <w:tabs>
          <w:tab w:val="num" w:pos="5040"/>
        </w:tabs>
        <w:ind w:left="5040" w:hanging="360"/>
      </w:pPr>
      <w:rPr>
        <w:rFonts w:ascii="Wingdings" w:hAnsi="Wingdings" w:hint="default"/>
      </w:rPr>
    </w:lvl>
    <w:lvl w:ilvl="7" w:tplc="4DC4DDD8" w:tentative="1">
      <w:start w:val="1"/>
      <w:numFmt w:val="bullet"/>
      <w:lvlText w:val=""/>
      <w:lvlJc w:val="left"/>
      <w:pPr>
        <w:tabs>
          <w:tab w:val="num" w:pos="5760"/>
        </w:tabs>
        <w:ind w:left="5760" w:hanging="360"/>
      </w:pPr>
      <w:rPr>
        <w:rFonts w:ascii="Wingdings" w:hAnsi="Wingdings" w:hint="default"/>
      </w:rPr>
    </w:lvl>
    <w:lvl w:ilvl="8" w:tplc="2DB4BE54" w:tentative="1">
      <w:start w:val="1"/>
      <w:numFmt w:val="bullet"/>
      <w:lvlText w:val=""/>
      <w:lvlJc w:val="left"/>
      <w:pPr>
        <w:tabs>
          <w:tab w:val="num" w:pos="6480"/>
        </w:tabs>
        <w:ind w:left="6480" w:hanging="360"/>
      </w:pPr>
      <w:rPr>
        <w:rFonts w:ascii="Wingdings" w:hAnsi="Wingdings" w:hint="default"/>
      </w:rPr>
    </w:lvl>
  </w:abstractNum>
  <w:abstractNum w:abstractNumId="32">
    <w:nsid w:val="61511B16"/>
    <w:multiLevelType w:val="hybridMultilevel"/>
    <w:tmpl w:val="BF9671FA"/>
    <w:lvl w:ilvl="0" w:tplc="9FCCF90A">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56D47EB"/>
    <w:multiLevelType w:val="multilevel"/>
    <w:tmpl w:val="656D47E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36">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8">
    <w:nsid w:val="6F6D0568"/>
    <w:multiLevelType w:val="hybridMultilevel"/>
    <w:tmpl w:val="3432E448"/>
    <w:lvl w:ilvl="0" w:tplc="2280E846">
      <w:start w:val="1"/>
      <w:numFmt w:val="bullet"/>
      <w:lvlText w:val=""/>
      <w:lvlJc w:val="left"/>
      <w:pPr>
        <w:tabs>
          <w:tab w:val="num" w:pos="360"/>
        </w:tabs>
        <w:ind w:left="360" w:hanging="360"/>
      </w:pPr>
      <w:rPr>
        <w:rFonts w:ascii="Wingdings" w:hAnsi="Wingdings" w:hint="default"/>
      </w:rPr>
    </w:lvl>
    <w:lvl w:ilvl="1" w:tplc="74F084E4">
      <w:numFmt w:val="bullet"/>
      <w:lvlText w:val=""/>
      <w:lvlJc w:val="left"/>
      <w:pPr>
        <w:tabs>
          <w:tab w:val="num" w:pos="1080"/>
        </w:tabs>
        <w:ind w:left="1080" w:hanging="360"/>
      </w:pPr>
      <w:rPr>
        <w:rFonts w:ascii="Wingdings" w:hAnsi="Wingdings" w:hint="default"/>
      </w:rPr>
    </w:lvl>
    <w:lvl w:ilvl="2" w:tplc="BD3E7B7E">
      <w:numFmt w:val="bullet"/>
      <w:lvlText w:val="•"/>
      <w:lvlJc w:val="left"/>
      <w:pPr>
        <w:tabs>
          <w:tab w:val="num" w:pos="1800"/>
        </w:tabs>
        <w:ind w:left="1800" w:hanging="360"/>
      </w:pPr>
      <w:rPr>
        <w:rFonts w:ascii="SimSun" w:hAnsi="SimSun" w:hint="default"/>
      </w:rPr>
    </w:lvl>
    <w:lvl w:ilvl="3" w:tplc="0C7061EE" w:tentative="1">
      <w:start w:val="1"/>
      <w:numFmt w:val="bullet"/>
      <w:lvlText w:val=""/>
      <w:lvlJc w:val="left"/>
      <w:pPr>
        <w:tabs>
          <w:tab w:val="num" w:pos="2520"/>
        </w:tabs>
        <w:ind w:left="2520" w:hanging="360"/>
      </w:pPr>
      <w:rPr>
        <w:rFonts w:ascii="Wingdings" w:hAnsi="Wingdings" w:hint="default"/>
      </w:rPr>
    </w:lvl>
    <w:lvl w:ilvl="4" w:tplc="48E60204" w:tentative="1">
      <w:start w:val="1"/>
      <w:numFmt w:val="bullet"/>
      <w:lvlText w:val=""/>
      <w:lvlJc w:val="left"/>
      <w:pPr>
        <w:tabs>
          <w:tab w:val="num" w:pos="3240"/>
        </w:tabs>
        <w:ind w:left="3240" w:hanging="360"/>
      </w:pPr>
      <w:rPr>
        <w:rFonts w:ascii="Wingdings" w:hAnsi="Wingdings" w:hint="default"/>
      </w:rPr>
    </w:lvl>
    <w:lvl w:ilvl="5" w:tplc="BAF282F2" w:tentative="1">
      <w:start w:val="1"/>
      <w:numFmt w:val="bullet"/>
      <w:lvlText w:val=""/>
      <w:lvlJc w:val="left"/>
      <w:pPr>
        <w:tabs>
          <w:tab w:val="num" w:pos="3960"/>
        </w:tabs>
        <w:ind w:left="3960" w:hanging="360"/>
      </w:pPr>
      <w:rPr>
        <w:rFonts w:ascii="Wingdings" w:hAnsi="Wingdings" w:hint="default"/>
      </w:rPr>
    </w:lvl>
    <w:lvl w:ilvl="6" w:tplc="061A950E" w:tentative="1">
      <w:start w:val="1"/>
      <w:numFmt w:val="bullet"/>
      <w:lvlText w:val=""/>
      <w:lvlJc w:val="left"/>
      <w:pPr>
        <w:tabs>
          <w:tab w:val="num" w:pos="4680"/>
        </w:tabs>
        <w:ind w:left="4680" w:hanging="360"/>
      </w:pPr>
      <w:rPr>
        <w:rFonts w:ascii="Wingdings" w:hAnsi="Wingdings" w:hint="default"/>
      </w:rPr>
    </w:lvl>
    <w:lvl w:ilvl="7" w:tplc="DA28E214" w:tentative="1">
      <w:start w:val="1"/>
      <w:numFmt w:val="bullet"/>
      <w:lvlText w:val=""/>
      <w:lvlJc w:val="left"/>
      <w:pPr>
        <w:tabs>
          <w:tab w:val="num" w:pos="5400"/>
        </w:tabs>
        <w:ind w:left="5400" w:hanging="360"/>
      </w:pPr>
      <w:rPr>
        <w:rFonts w:ascii="Wingdings" w:hAnsi="Wingdings" w:hint="default"/>
      </w:rPr>
    </w:lvl>
    <w:lvl w:ilvl="8" w:tplc="D78CC686" w:tentative="1">
      <w:start w:val="1"/>
      <w:numFmt w:val="bullet"/>
      <w:lvlText w:val=""/>
      <w:lvlJc w:val="left"/>
      <w:pPr>
        <w:tabs>
          <w:tab w:val="num" w:pos="6120"/>
        </w:tabs>
        <w:ind w:left="6120" w:hanging="360"/>
      </w:pPr>
      <w:rPr>
        <w:rFonts w:ascii="Wingdings" w:hAnsi="Wingdings" w:hint="default"/>
      </w:rPr>
    </w:lvl>
  </w:abstractNum>
  <w:abstractNum w:abstractNumId="39">
    <w:nsid w:val="70926AD4"/>
    <w:multiLevelType w:val="hybridMultilevel"/>
    <w:tmpl w:val="B2621058"/>
    <w:lvl w:ilvl="0" w:tplc="30AC91A8">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2">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39"/>
  </w:num>
  <w:num w:numId="3">
    <w:abstractNumId w:val="13"/>
  </w:num>
  <w:num w:numId="4">
    <w:abstractNumId w:val="6"/>
  </w:num>
  <w:num w:numId="5">
    <w:abstractNumId w:val="29"/>
  </w:num>
  <w:num w:numId="6">
    <w:abstractNumId w:val="30"/>
  </w:num>
  <w:num w:numId="7">
    <w:abstractNumId w:val="12"/>
  </w:num>
  <w:num w:numId="8">
    <w:abstractNumId w:val="2"/>
  </w:num>
  <w:num w:numId="9">
    <w:abstractNumId w:val="20"/>
  </w:num>
  <w:num w:numId="10">
    <w:abstractNumId w:val="11"/>
  </w:num>
  <w:num w:numId="11">
    <w:abstractNumId w:val="4"/>
  </w:num>
  <w:num w:numId="12">
    <w:abstractNumId w:val="7"/>
  </w:num>
  <w:num w:numId="13">
    <w:abstractNumId w:val="38"/>
  </w:num>
  <w:num w:numId="14">
    <w:abstractNumId w:val="28"/>
  </w:num>
  <w:num w:numId="15">
    <w:abstractNumId w:val="31"/>
  </w:num>
  <w:num w:numId="16">
    <w:abstractNumId w:val="19"/>
  </w:num>
  <w:num w:numId="17">
    <w:abstractNumId w:val="43"/>
  </w:num>
  <w:num w:numId="18">
    <w:abstractNumId w:val="8"/>
  </w:num>
  <w:num w:numId="19">
    <w:abstractNumId w:val="18"/>
  </w:num>
  <w:num w:numId="20">
    <w:abstractNumId w:val="23"/>
  </w:num>
  <w:num w:numId="21">
    <w:abstractNumId w:val="24"/>
  </w:num>
  <w:num w:numId="22">
    <w:abstractNumId w:val="15"/>
  </w:num>
  <w:num w:numId="23">
    <w:abstractNumId w:val="0"/>
  </w:num>
  <w:num w:numId="24">
    <w:abstractNumId w:val="14"/>
  </w:num>
  <w:num w:numId="25">
    <w:abstractNumId w:val="16"/>
  </w:num>
  <w:num w:numId="26">
    <w:abstractNumId w:val="35"/>
  </w:num>
  <w:num w:numId="27">
    <w:abstractNumId w:val="41"/>
  </w:num>
  <w:num w:numId="28">
    <w:abstractNumId w:val="5"/>
  </w:num>
  <w:num w:numId="29">
    <w:abstractNumId w:val="9"/>
  </w:num>
  <w:num w:numId="30">
    <w:abstractNumId w:val="18"/>
  </w:num>
  <w:num w:numId="31">
    <w:abstractNumId w:val="42"/>
  </w:num>
  <w:num w:numId="32">
    <w:abstractNumId w:val="33"/>
  </w:num>
  <w:num w:numId="33">
    <w:abstractNumId w:val="26"/>
  </w:num>
  <w:num w:numId="34">
    <w:abstractNumId w:val="34"/>
  </w:num>
  <w:num w:numId="35">
    <w:abstractNumId w:val="1"/>
  </w:num>
  <w:num w:numId="36">
    <w:abstractNumId w:val="37"/>
  </w:num>
  <w:num w:numId="37">
    <w:abstractNumId w:val="17"/>
  </w:num>
  <w:num w:numId="38">
    <w:abstractNumId w:val="40"/>
  </w:num>
  <w:num w:numId="39">
    <w:abstractNumId w:val="3"/>
  </w:num>
  <w:num w:numId="40">
    <w:abstractNumId w:val="21"/>
  </w:num>
  <w:num w:numId="41">
    <w:abstractNumId w:val="36"/>
  </w:num>
  <w:num w:numId="42">
    <w:abstractNumId w:val="25"/>
  </w:num>
  <w:num w:numId="43">
    <w:abstractNumId w:val="10"/>
  </w:num>
  <w:num w:numId="44">
    <w:abstractNumId w:val="27"/>
  </w:num>
  <w:num w:numId="45">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defaultTabStop w:val="567"/>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0A1C"/>
    <w:rsid w:val="000027E5"/>
    <w:rsid w:val="00002AA8"/>
    <w:rsid w:val="00004FA5"/>
    <w:rsid w:val="000069D4"/>
    <w:rsid w:val="00011BBA"/>
    <w:rsid w:val="000155CE"/>
    <w:rsid w:val="0001691C"/>
    <w:rsid w:val="00021A12"/>
    <w:rsid w:val="00021BED"/>
    <w:rsid w:val="00022497"/>
    <w:rsid w:val="0002475D"/>
    <w:rsid w:val="00025072"/>
    <w:rsid w:val="0003094B"/>
    <w:rsid w:val="00031E28"/>
    <w:rsid w:val="00033799"/>
    <w:rsid w:val="00033CCF"/>
    <w:rsid w:val="00037879"/>
    <w:rsid w:val="00040008"/>
    <w:rsid w:val="00042BC8"/>
    <w:rsid w:val="00042C6D"/>
    <w:rsid w:val="000458E6"/>
    <w:rsid w:val="000462A7"/>
    <w:rsid w:val="000465FF"/>
    <w:rsid w:val="000467E6"/>
    <w:rsid w:val="00046E54"/>
    <w:rsid w:val="00047A2F"/>
    <w:rsid w:val="00047D5D"/>
    <w:rsid w:val="0005414F"/>
    <w:rsid w:val="000545D5"/>
    <w:rsid w:val="0005472B"/>
    <w:rsid w:val="00055DCD"/>
    <w:rsid w:val="000572E3"/>
    <w:rsid w:val="0006055A"/>
    <w:rsid w:val="00060A07"/>
    <w:rsid w:val="00061441"/>
    <w:rsid w:val="00061D42"/>
    <w:rsid w:val="0006316D"/>
    <w:rsid w:val="00063DD1"/>
    <w:rsid w:val="000667B4"/>
    <w:rsid w:val="00066F32"/>
    <w:rsid w:val="000725F1"/>
    <w:rsid w:val="000738B8"/>
    <w:rsid w:val="00074DD4"/>
    <w:rsid w:val="00076A8C"/>
    <w:rsid w:val="00076E7E"/>
    <w:rsid w:val="00080CF6"/>
    <w:rsid w:val="0008107A"/>
    <w:rsid w:val="000813A9"/>
    <w:rsid w:val="00082F54"/>
    <w:rsid w:val="000836F6"/>
    <w:rsid w:val="00084509"/>
    <w:rsid w:val="00084818"/>
    <w:rsid w:val="000864C8"/>
    <w:rsid w:val="00086A7B"/>
    <w:rsid w:val="00086C1E"/>
    <w:rsid w:val="0009113C"/>
    <w:rsid w:val="00092AB6"/>
    <w:rsid w:val="000930BB"/>
    <w:rsid w:val="000936A4"/>
    <w:rsid w:val="00095637"/>
    <w:rsid w:val="000A02ED"/>
    <w:rsid w:val="000A051F"/>
    <w:rsid w:val="000A2592"/>
    <w:rsid w:val="000A2819"/>
    <w:rsid w:val="000A2D17"/>
    <w:rsid w:val="000A3476"/>
    <w:rsid w:val="000A5510"/>
    <w:rsid w:val="000A5B3E"/>
    <w:rsid w:val="000A6465"/>
    <w:rsid w:val="000B0733"/>
    <w:rsid w:val="000B24A3"/>
    <w:rsid w:val="000B3D66"/>
    <w:rsid w:val="000B5B81"/>
    <w:rsid w:val="000B5EA1"/>
    <w:rsid w:val="000B62C8"/>
    <w:rsid w:val="000C302F"/>
    <w:rsid w:val="000C35FF"/>
    <w:rsid w:val="000C3FB8"/>
    <w:rsid w:val="000C4786"/>
    <w:rsid w:val="000D1281"/>
    <w:rsid w:val="000D284A"/>
    <w:rsid w:val="000D3BC7"/>
    <w:rsid w:val="000D437C"/>
    <w:rsid w:val="000E2597"/>
    <w:rsid w:val="000E405C"/>
    <w:rsid w:val="000E50BA"/>
    <w:rsid w:val="000E6C1E"/>
    <w:rsid w:val="000E6ECB"/>
    <w:rsid w:val="000F1A07"/>
    <w:rsid w:val="000F4436"/>
    <w:rsid w:val="000F5D81"/>
    <w:rsid w:val="000F6AA6"/>
    <w:rsid w:val="000F6FFB"/>
    <w:rsid w:val="000F72D4"/>
    <w:rsid w:val="000F7E8C"/>
    <w:rsid w:val="00101036"/>
    <w:rsid w:val="00102178"/>
    <w:rsid w:val="00102CCD"/>
    <w:rsid w:val="00102FEC"/>
    <w:rsid w:val="0010325F"/>
    <w:rsid w:val="0010373F"/>
    <w:rsid w:val="00105C0A"/>
    <w:rsid w:val="00110D2F"/>
    <w:rsid w:val="00111AE3"/>
    <w:rsid w:val="00111BD1"/>
    <w:rsid w:val="001120D2"/>
    <w:rsid w:val="00114A60"/>
    <w:rsid w:val="00115488"/>
    <w:rsid w:val="001163E3"/>
    <w:rsid w:val="00116AA2"/>
    <w:rsid w:val="00120C5C"/>
    <w:rsid w:val="00121437"/>
    <w:rsid w:val="00127F06"/>
    <w:rsid w:val="00131A8C"/>
    <w:rsid w:val="00131FFD"/>
    <w:rsid w:val="001321F6"/>
    <w:rsid w:val="00133197"/>
    <w:rsid w:val="00136C4D"/>
    <w:rsid w:val="0014066B"/>
    <w:rsid w:val="0014426C"/>
    <w:rsid w:val="0014562C"/>
    <w:rsid w:val="00145C83"/>
    <w:rsid w:val="001500F3"/>
    <w:rsid w:val="00152991"/>
    <w:rsid w:val="00153D54"/>
    <w:rsid w:val="001565C7"/>
    <w:rsid w:val="00156D5B"/>
    <w:rsid w:val="00160F67"/>
    <w:rsid w:val="00161A89"/>
    <w:rsid w:val="001664AB"/>
    <w:rsid w:val="00167B41"/>
    <w:rsid w:val="00170CD3"/>
    <w:rsid w:val="00170F46"/>
    <w:rsid w:val="00173BE9"/>
    <w:rsid w:val="001742F8"/>
    <w:rsid w:val="00176154"/>
    <w:rsid w:val="00181BB5"/>
    <w:rsid w:val="0018363C"/>
    <w:rsid w:val="00184767"/>
    <w:rsid w:val="00184EDB"/>
    <w:rsid w:val="001875B7"/>
    <w:rsid w:val="00187F9F"/>
    <w:rsid w:val="00190EF2"/>
    <w:rsid w:val="0019446A"/>
    <w:rsid w:val="00194AC0"/>
    <w:rsid w:val="00195D29"/>
    <w:rsid w:val="00197820"/>
    <w:rsid w:val="001A144E"/>
    <w:rsid w:val="001A2063"/>
    <w:rsid w:val="001B676B"/>
    <w:rsid w:val="001B6ACB"/>
    <w:rsid w:val="001C1702"/>
    <w:rsid w:val="001C2C19"/>
    <w:rsid w:val="001C4425"/>
    <w:rsid w:val="001C52C2"/>
    <w:rsid w:val="001C65E0"/>
    <w:rsid w:val="001D0BDD"/>
    <w:rsid w:val="001D1191"/>
    <w:rsid w:val="001D1431"/>
    <w:rsid w:val="001D1662"/>
    <w:rsid w:val="001D287F"/>
    <w:rsid w:val="001D2A35"/>
    <w:rsid w:val="001D3189"/>
    <w:rsid w:val="001D5B7F"/>
    <w:rsid w:val="001D5E03"/>
    <w:rsid w:val="001E0B23"/>
    <w:rsid w:val="001E2A0C"/>
    <w:rsid w:val="001E2EFB"/>
    <w:rsid w:val="001E377F"/>
    <w:rsid w:val="001E51D5"/>
    <w:rsid w:val="001E5951"/>
    <w:rsid w:val="001E62CC"/>
    <w:rsid w:val="001E67EC"/>
    <w:rsid w:val="001E69CE"/>
    <w:rsid w:val="001E6FEE"/>
    <w:rsid w:val="001F07D6"/>
    <w:rsid w:val="001F22C8"/>
    <w:rsid w:val="001F2CF8"/>
    <w:rsid w:val="0020125E"/>
    <w:rsid w:val="00206413"/>
    <w:rsid w:val="0020730A"/>
    <w:rsid w:val="00207E03"/>
    <w:rsid w:val="002102E4"/>
    <w:rsid w:val="00210FDB"/>
    <w:rsid w:val="00212431"/>
    <w:rsid w:val="00212C89"/>
    <w:rsid w:val="00213990"/>
    <w:rsid w:val="00214614"/>
    <w:rsid w:val="00214D56"/>
    <w:rsid w:val="00215044"/>
    <w:rsid w:val="00215A69"/>
    <w:rsid w:val="002164C8"/>
    <w:rsid w:val="00217867"/>
    <w:rsid w:val="002208D7"/>
    <w:rsid w:val="00221996"/>
    <w:rsid w:val="0022209D"/>
    <w:rsid w:val="00222950"/>
    <w:rsid w:val="00226639"/>
    <w:rsid w:val="0023324D"/>
    <w:rsid w:val="00234CD2"/>
    <w:rsid w:val="00243C15"/>
    <w:rsid w:val="00245883"/>
    <w:rsid w:val="002469D2"/>
    <w:rsid w:val="00246FFE"/>
    <w:rsid w:val="002471A1"/>
    <w:rsid w:val="00251FFC"/>
    <w:rsid w:val="00253F28"/>
    <w:rsid w:val="00254ADD"/>
    <w:rsid w:val="00255656"/>
    <w:rsid w:val="00261115"/>
    <w:rsid w:val="002612AB"/>
    <w:rsid w:val="0026572B"/>
    <w:rsid w:val="00266F35"/>
    <w:rsid w:val="0027092A"/>
    <w:rsid w:val="00271B44"/>
    <w:rsid w:val="00276BFD"/>
    <w:rsid w:val="002773CE"/>
    <w:rsid w:val="00282EDC"/>
    <w:rsid w:val="00287237"/>
    <w:rsid w:val="002872CC"/>
    <w:rsid w:val="00291BFF"/>
    <w:rsid w:val="00293F52"/>
    <w:rsid w:val="00294109"/>
    <w:rsid w:val="00294D35"/>
    <w:rsid w:val="00295D3E"/>
    <w:rsid w:val="002969AE"/>
    <w:rsid w:val="002975D3"/>
    <w:rsid w:val="002A1751"/>
    <w:rsid w:val="002A7D8D"/>
    <w:rsid w:val="002B0354"/>
    <w:rsid w:val="002B2B8E"/>
    <w:rsid w:val="002B4378"/>
    <w:rsid w:val="002B5CC1"/>
    <w:rsid w:val="002B5F8C"/>
    <w:rsid w:val="002B6D41"/>
    <w:rsid w:val="002B7EED"/>
    <w:rsid w:val="002C13D2"/>
    <w:rsid w:val="002C2CE5"/>
    <w:rsid w:val="002C39BF"/>
    <w:rsid w:val="002C4482"/>
    <w:rsid w:val="002C4663"/>
    <w:rsid w:val="002C51F6"/>
    <w:rsid w:val="002C6EC9"/>
    <w:rsid w:val="002D468D"/>
    <w:rsid w:val="002D52ED"/>
    <w:rsid w:val="002D5498"/>
    <w:rsid w:val="002E1A43"/>
    <w:rsid w:val="002E5D06"/>
    <w:rsid w:val="002F1525"/>
    <w:rsid w:val="002F2DA1"/>
    <w:rsid w:val="002F4662"/>
    <w:rsid w:val="00301C66"/>
    <w:rsid w:val="0030205F"/>
    <w:rsid w:val="00302146"/>
    <w:rsid w:val="00304B27"/>
    <w:rsid w:val="00305756"/>
    <w:rsid w:val="00313F46"/>
    <w:rsid w:val="0031502C"/>
    <w:rsid w:val="003151FA"/>
    <w:rsid w:val="00316712"/>
    <w:rsid w:val="0031790C"/>
    <w:rsid w:val="00317BCF"/>
    <w:rsid w:val="003232CF"/>
    <w:rsid w:val="003237C4"/>
    <w:rsid w:val="00323D37"/>
    <w:rsid w:val="003243AF"/>
    <w:rsid w:val="00326CFA"/>
    <w:rsid w:val="00327350"/>
    <w:rsid w:val="00327E13"/>
    <w:rsid w:val="003305AA"/>
    <w:rsid w:val="00330B11"/>
    <w:rsid w:val="00332E3C"/>
    <w:rsid w:val="00333CBF"/>
    <w:rsid w:val="003343A6"/>
    <w:rsid w:val="003363CB"/>
    <w:rsid w:val="003373A7"/>
    <w:rsid w:val="003428C8"/>
    <w:rsid w:val="00345E0D"/>
    <w:rsid w:val="0034703F"/>
    <w:rsid w:val="003473A0"/>
    <w:rsid w:val="00351318"/>
    <w:rsid w:val="00351F5B"/>
    <w:rsid w:val="00352DDE"/>
    <w:rsid w:val="00355D34"/>
    <w:rsid w:val="003579F6"/>
    <w:rsid w:val="00360E9B"/>
    <w:rsid w:val="00363DB8"/>
    <w:rsid w:val="003644DE"/>
    <w:rsid w:val="003657D8"/>
    <w:rsid w:val="00374528"/>
    <w:rsid w:val="00374DDB"/>
    <w:rsid w:val="00374E63"/>
    <w:rsid w:val="00375F98"/>
    <w:rsid w:val="00376A8B"/>
    <w:rsid w:val="003772C8"/>
    <w:rsid w:val="0038063D"/>
    <w:rsid w:val="00381325"/>
    <w:rsid w:val="00381EAB"/>
    <w:rsid w:val="003827B2"/>
    <w:rsid w:val="00384571"/>
    <w:rsid w:val="00390EE1"/>
    <w:rsid w:val="003941A2"/>
    <w:rsid w:val="00395A56"/>
    <w:rsid w:val="003967E1"/>
    <w:rsid w:val="00396B25"/>
    <w:rsid w:val="003A00BD"/>
    <w:rsid w:val="003A0EEE"/>
    <w:rsid w:val="003A25B5"/>
    <w:rsid w:val="003A2C3B"/>
    <w:rsid w:val="003B56B3"/>
    <w:rsid w:val="003B5919"/>
    <w:rsid w:val="003C102D"/>
    <w:rsid w:val="003C21AF"/>
    <w:rsid w:val="003C22BF"/>
    <w:rsid w:val="003C4A2B"/>
    <w:rsid w:val="003C4A49"/>
    <w:rsid w:val="003C4F91"/>
    <w:rsid w:val="003C50F9"/>
    <w:rsid w:val="003C6EE7"/>
    <w:rsid w:val="003D3AA4"/>
    <w:rsid w:val="003D5FC6"/>
    <w:rsid w:val="003D620F"/>
    <w:rsid w:val="003D69A0"/>
    <w:rsid w:val="003D69D0"/>
    <w:rsid w:val="003E1576"/>
    <w:rsid w:val="003E2D20"/>
    <w:rsid w:val="003E451A"/>
    <w:rsid w:val="003E4E46"/>
    <w:rsid w:val="003E4EC2"/>
    <w:rsid w:val="003E4FA1"/>
    <w:rsid w:val="003E7618"/>
    <w:rsid w:val="003F0149"/>
    <w:rsid w:val="003F0DED"/>
    <w:rsid w:val="003F0F14"/>
    <w:rsid w:val="003F0F79"/>
    <w:rsid w:val="003F252C"/>
    <w:rsid w:val="003F25B0"/>
    <w:rsid w:val="003F523E"/>
    <w:rsid w:val="003F608F"/>
    <w:rsid w:val="003F7B23"/>
    <w:rsid w:val="004012A0"/>
    <w:rsid w:val="004032C0"/>
    <w:rsid w:val="004039D6"/>
    <w:rsid w:val="00405CDF"/>
    <w:rsid w:val="00416465"/>
    <w:rsid w:val="00416A9D"/>
    <w:rsid w:val="0041706B"/>
    <w:rsid w:val="004173BF"/>
    <w:rsid w:val="00417E24"/>
    <w:rsid w:val="004205E5"/>
    <w:rsid w:val="00420DAC"/>
    <w:rsid w:val="004217BE"/>
    <w:rsid w:val="00422B0C"/>
    <w:rsid w:val="00422E3B"/>
    <w:rsid w:val="00424820"/>
    <w:rsid w:val="004334FD"/>
    <w:rsid w:val="004336C9"/>
    <w:rsid w:val="0043665E"/>
    <w:rsid w:val="00436FB5"/>
    <w:rsid w:val="00437D81"/>
    <w:rsid w:val="00441AA0"/>
    <w:rsid w:val="00442954"/>
    <w:rsid w:val="00442E8B"/>
    <w:rsid w:val="0044386C"/>
    <w:rsid w:val="00446551"/>
    <w:rsid w:val="0045171C"/>
    <w:rsid w:val="00453174"/>
    <w:rsid w:val="0045383A"/>
    <w:rsid w:val="00461DE0"/>
    <w:rsid w:val="004623C0"/>
    <w:rsid w:val="004660D9"/>
    <w:rsid w:val="00466693"/>
    <w:rsid w:val="00467335"/>
    <w:rsid w:val="004675DF"/>
    <w:rsid w:val="00467E1A"/>
    <w:rsid w:val="004742A9"/>
    <w:rsid w:val="0047771D"/>
    <w:rsid w:val="004800BF"/>
    <w:rsid w:val="00484493"/>
    <w:rsid w:val="004866A7"/>
    <w:rsid w:val="00486C3B"/>
    <w:rsid w:val="00490F2F"/>
    <w:rsid w:val="004911CE"/>
    <w:rsid w:val="0049251D"/>
    <w:rsid w:val="004957E1"/>
    <w:rsid w:val="00496172"/>
    <w:rsid w:val="004971C2"/>
    <w:rsid w:val="004978A1"/>
    <w:rsid w:val="004A02DB"/>
    <w:rsid w:val="004A2ABE"/>
    <w:rsid w:val="004A756E"/>
    <w:rsid w:val="004A76A5"/>
    <w:rsid w:val="004B09F8"/>
    <w:rsid w:val="004B0CE9"/>
    <w:rsid w:val="004B157D"/>
    <w:rsid w:val="004B1CA8"/>
    <w:rsid w:val="004B348F"/>
    <w:rsid w:val="004B3EFD"/>
    <w:rsid w:val="004B4949"/>
    <w:rsid w:val="004B69EC"/>
    <w:rsid w:val="004C04CB"/>
    <w:rsid w:val="004C054A"/>
    <w:rsid w:val="004C3D1F"/>
    <w:rsid w:val="004C4C26"/>
    <w:rsid w:val="004C522A"/>
    <w:rsid w:val="004C55A0"/>
    <w:rsid w:val="004C56F5"/>
    <w:rsid w:val="004C61C5"/>
    <w:rsid w:val="004C684F"/>
    <w:rsid w:val="004C6C01"/>
    <w:rsid w:val="004D0611"/>
    <w:rsid w:val="004D4AF3"/>
    <w:rsid w:val="004D51C1"/>
    <w:rsid w:val="004E1755"/>
    <w:rsid w:val="004E2DE8"/>
    <w:rsid w:val="004E4898"/>
    <w:rsid w:val="004E4B0F"/>
    <w:rsid w:val="004E4B13"/>
    <w:rsid w:val="004F055A"/>
    <w:rsid w:val="004F3EF6"/>
    <w:rsid w:val="00503D16"/>
    <w:rsid w:val="00505B6F"/>
    <w:rsid w:val="005137B1"/>
    <w:rsid w:val="005146E8"/>
    <w:rsid w:val="00514DA6"/>
    <w:rsid w:val="00516FBE"/>
    <w:rsid w:val="00517260"/>
    <w:rsid w:val="00517688"/>
    <w:rsid w:val="0051789A"/>
    <w:rsid w:val="0052005F"/>
    <w:rsid w:val="00522527"/>
    <w:rsid w:val="00525542"/>
    <w:rsid w:val="00525BE6"/>
    <w:rsid w:val="00525CA2"/>
    <w:rsid w:val="005265B8"/>
    <w:rsid w:val="00527377"/>
    <w:rsid w:val="00527497"/>
    <w:rsid w:val="005336AA"/>
    <w:rsid w:val="005346AE"/>
    <w:rsid w:val="00534A5B"/>
    <w:rsid w:val="00534B1B"/>
    <w:rsid w:val="00537138"/>
    <w:rsid w:val="00537717"/>
    <w:rsid w:val="005414A8"/>
    <w:rsid w:val="0054264A"/>
    <w:rsid w:val="005509FA"/>
    <w:rsid w:val="00550DFC"/>
    <w:rsid w:val="00552F80"/>
    <w:rsid w:val="00555D92"/>
    <w:rsid w:val="00561654"/>
    <w:rsid w:val="00562593"/>
    <w:rsid w:val="005626AC"/>
    <w:rsid w:val="00562980"/>
    <w:rsid w:val="005679AE"/>
    <w:rsid w:val="005737EC"/>
    <w:rsid w:val="005738A4"/>
    <w:rsid w:val="00574D8E"/>
    <w:rsid w:val="00575837"/>
    <w:rsid w:val="00576715"/>
    <w:rsid w:val="0058042F"/>
    <w:rsid w:val="0058135F"/>
    <w:rsid w:val="00582100"/>
    <w:rsid w:val="00582402"/>
    <w:rsid w:val="0058450A"/>
    <w:rsid w:val="005861EC"/>
    <w:rsid w:val="00587B57"/>
    <w:rsid w:val="00587C7D"/>
    <w:rsid w:val="0059190B"/>
    <w:rsid w:val="00596D5A"/>
    <w:rsid w:val="005A3EBE"/>
    <w:rsid w:val="005A4434"/>
    <w:rsid w:val="005A5807"/>
    <w:rsid w:val="005A5B06"/>
    <w:rsid w:val="005A6711"/>
    <w:rsid w:val="005A7B9F"/>
    <w:rsid w:val="005B1A91"/>
    <w:rsid w:val="005B468E"/>
    <w:rsid w:val="005C0073"/>
    <w:rsid w:val="005C08DE"/>
    <w:rsid w:val="005C09A7"/>
    <w:rsid w:val="005C2429"/>
    <w:rsid w:val="005C25A8"/>
    <w:rsid w:val="005C357F"/>
    <w:rsid w:val="005C4E49"/>
    <w:rsid w:val="005C564B"/>
    <w:rsid w:val="005D00AB"/>
    <w:rsid w:val="005D0D86"/>
    <w:rsid w:val="005D3CFE"/>
    <w:rsid w:val="005D3D48"/>
    <w:rsid w:val="005D5F52"/>
    <w:rsid w:val="005D6C02"/>
    <w:rsid w:val="005D6EF2"/>
    <w:rsid w:val="005E0F60"/>
    <w:rsid w:val="005E1DEA"/>
    <w:rsid w:val="005E36E4"/>
    <w:rsid w:val="005E51D6"/>
    <w:rsid w:val="005E5647"/>
    <w:rsid w:val="005E57B8"/>
    <w:rsid w:val="005E61F9"/>
    <w:rsid w:val="005F0458"/>
    <w:rsid w:val="005F2039"/>
    <w:rsid w:val="005F4E81"/>
    <w:rsid w:val="005F5652"/>
    <w:rsid w:val="005F5971"/>
    <w:rsid w:val="005F5C5B"/>
    <w:rsid w:val="005F656B"/>
    <w:rsid w:val="006020CD"/>
    <w:rsid w:val="0060244E"/>
    <w:rsid w:val="00602CBA"/>
    <w:rsid w:val="0060625B"/>
    <w:rsid w:val="00611711"/>
    <w:rsid w:val="00613B20"/>
    <w:rsid w:val="00613B80"/>
    <w:rsid w:val="0061561C"/>
    <w:rsid w:val="00617ABF"/>
    <w:rsid w:val="0062021F"/>
    <w:rsid w:val="006206B9"/>
    <w:rsid w:val="00620D73"/>
    <w:rsid w:val="00621632"/>
    <w:rsid w:val="00621A29"/>
    <w:rsid w:val="00621AF2"/>
    <w:rsid w:val="006245DC"/>
    <w:rsid w:val="00626F8F"/>
    <w:rsid w:val="00627CDF"/>
    <w:rsid w:val="00627DB4"/>
    <w:rsid w:val="006301C3"/>
    <w:rsid w:val="00631DBF"/>
    <w:rsid w:val="00635964"/>
    <w:rsid w:val="006368CF"/>
    <w:rsid w:val="00636A03"/>
    <w:rsid w:val="00640D69"/>
    <w:rsid w:val="0064172F"/>
    <w:rsid w:val="00642504"/>
    <w:rsid w:val="0064410A"/>
    <w:rsid w:val="006449B3"/>
    <w:rsid w:val="00646CE6"/>
    <w:rsid w:val="00650E20"/>
    <w:rsid w:val="00651808"/>
    <w:rsid w:val="00651A6B"/>
    <w:rsid w:val="006544DD"/>
    <w:rsid w:val="00655263"/>
    <w:rsid w:val="00655DBF"/>
    <w:rsid w:val="00657D7D"/>
    <w:rsid w:val="00661731"/>
    <w:rsid w:val="006637D2"/>
    <w:rsid w:val="006638FE"/>
    <w:rsid w:val="006656C5"/>
    <w:rsid w:val="00665A9E"/>
    <w:rsid w:val="00671610"/>
    <w:rsid w:val="006724A5"/>
    <w:rsid w:val="00672A5E"/>
    <w:rsid w:val="0067349A"/>
    <w:rsid w:val="006760A3"/>
    <w:rsid w:val="00680479"/>
    <w:rsid w:val="00680ED2"/>
    <w:rsid w:val="00683A67"/>
    <w:rsid w:val="00685871"/>
    <w:rsid w:val="00685D8F"/>
    <w:rsid w:val="00687E2B"/>
    <w:rsid w:val="00692D20"/>
    <w:rsid w:val="006931B0"/>
    <w:rsid w:val="00693245"/>
    <w:rsid w:val="00693410"/>
    <w:rsid w:val="00694311"/>
    <w:rsid w:val="0069613C"/>
    <w:rsid w:val="00696C5E"/>
    <w:rsid w:val="006A1292"/>
    <w:rsid w:val="006A138D"/>
    <w:rsid w:val="006A14AE"/>
    <w:rsid w:val="006A2DBD"/>
    <w:rsid w:val="006A3B59"/>
    <w:rsid w:val="006A5D18"/>
    <w:rsid w:val="006A6529"/>
    <w:rsid w:val="006A72FC"/>
    <w:rsid w:val="006A7C5E"/>
    <w:rsid w:val="006B053F"/>
    <w:rsid w:val="006B4E6F"/>
    <w:rsid w:val="006B4F6F"/>
    <w:rsid w:val="006B5846"/>
    <w:rsid w:val="006B5F97"/>
    <w:rsid w:val="006B6292"/>
    <w:rsid w:val="006B6661"/>
    <w:rsid w:val="006C1732"/>
    <w:rsid w:val="006C3096"/>
    <w:rsid w:val="006C5046"/>
    <w:rsid w:val="006C63DB"/>
    <w:rsid w:val="006C6522"/>
    <w:rsid w:val="006C7254"/>
    <w:rsid w:val="006D0099"/>
    <w:rsid w:val="006D227F"/>
    <w:rsid w:val="006D3088"/>
    <w:rsid w:val="006D3577"/>
    <w:rsid w:val="006D6DDA"/>
    <w:rsid w:val="006E7F38"/>
    <w:rsid w:val="006F08FE"/>
    <w:rsid w:val="006F2099"/>
    <w:rsid w:val="006F358A"/>
    <w:rsid w:val="006F405F"/>
    <w:rsid w:val="006F44DF"/>
    <w:rsid w:val="006F4D44"/>
    <w:rsid w:val="006F66AA"/>
    <w:rsid w:val="00703FBC"/>
    <w:rsid w:val="007050B7"/>
    <w:rsid w:val="00707DD6"/>
    <w:rsid w:val="00707EFF"/>
    <w:rsid w:val="00711B15"/>
    <w:rsid w:val="00712A20"/>
    <w:rsid w:val="00714609"/>
    <w:rsid w:val="00715F50"/>
    <w:rsid w:val="0071767D"/>
    <w:rsid w:val="007211B8"/>
    <w:rsid w:val="00722138"/>
    <w:rsid w:val="00723592"/>
    <w:rsid w:val="00724AA2"/>
    <w:rsid w:val="00725848"/>
    <w:rsid w:val="007262EF"/>
    <w:rsid w:val="00727113"/>
    <w:rsid w:val="00732730"/>
    <w:rsid w:val="00734100"/>
    <w:rsid w:val="007351D9"/>
    <w:rsid w:val="00735246"/>
    <w:rsid w:val="00735933"/>
    <w:rsid w:val="00736E2D"/>
    <w:rsid w:val="00737886"/>
    <w:rsid w:val="0074127D"/>
    <w:rsid w:val="0074231E"/>
    <w:rsid w:val="00743CC2"/>
    <w:rsid w:val="0075028B"/>
    <w:rsid w:val="00751F35"/>
    <w:rsid w:val="00752257"/>
    <w:rsid w:val="007537A6"/>
    <w:rsid w:val="00757293"/>
    <w:rsid w:val="007617F5"/>
    <w:rsid w:val="00762491"/>
    <w:rsid w:val="0076446F"/>
    <w:rsid w:val="0076494A"/>
    <w:rsid w:val="00764B38"/>
    <w:rsid w:val="00764DA8"/>
    <w:rsid w:val="007660DA"/>
    <w:rsid w:val="00766725"/>
    <w:rsid w:val="00771A84"/>
    <w:rsid w:val="00771FBD"/>
    <w:rsid w:val="00774E2C"/>
    <w:rsid w:val="0077515B"/>
    <w:rsid w:val="007758F3"/>
    <w:rsid w:val="007766D6"/>
    <w:rsid w:val="00782DDF"/>
    <w:rsid w:val="007862C8"/>
    <w:rsid w:val="007864BD"/>
    <w:rsid w:val="00790F17"/>
    <w:rsid w:val="00792202"/>
    <w:rsid w:val="00792541"/>
    <w:rsid w:val="007A0B7A"/>
    <w:rsid w:val="007A332B"/>
    <w:rsid w:val="007A5422"/>
    <w:rsid w:val="007A5C3D"/>
    <w:rsid w:val="007B0D35"/>
    <w:rsid w:val="007B20F6"/>
    <w:rsid w:val="007B3F86"/>
    <w:rsid w:val="007B4DF4"/>
    <w:rsid w:val="007B7773"/>
    <w:rsid w:val="007C04F9"/>
    <w:rsid w:val="007C07C1"/>
    <w:rsid w:val="007C0A42"/>
    <w:rsid w:val="007C2A25"/>
    <w:rsid w:val="007C2BA6"/>
    <w:rsid w:val="007C47CA"/>
    <w:rsid w:val="007C614C"/>
    <w:rsid w:val="007C625C"/>
    <w:rsid w:val="007D0F9E"/>
    <w:rsid w:val="007D1436"/>
    <w:rsid w:val="007D1B4A"/>
    <w:rsid w:val="007D22D9"/>
    <w:rsid w:val="007D2331"/>
    <w:rsid w:val="007D3A15"/>
    <w:rsid w:val="007D3D57"/>
    <w:rsid w:val="007D41AE"/>
    <w:rsid w:val="007D56CB"/>
    <w:rsid w:val="007D663B"/>
    <w:rsid w:val="007D6EB2"/>
    <w:rsid w:val="007E2ADA"/>
    <w:rsid w:val="007E40D2"/>
    <w:rsid w:val="007E49AC"/>
    <w:rsid w:val="007E5207"/>
    <w:rsid w:val="007E6CFA"/>
    <w:rsid w:val="007E6DCE"/>
    <w:rsid w:val="007F21DC"/>
    <w:rsid w:val="007F2AA5"/>
    <w:rsid w:val="007F34CA"/>
    <w:rsid w:val="00803260"/>
    <w:rsid w:val="008041BF"/>
    <w:rsid w:val="00806497"/>
    <w:rsid w:val="00806966"/>
    <w:rsid w:val="008074EA"/>
    <w:rsid w:val="00807FBD"/>
    <w:rsid w:val="00812358"/>
    <w:rsid w:val="00813E68"/>
    <w:rsid w:val="00822A9B"/>
    <w:rsid w:val="00823BC8"/>
    <w:rsid w:val="00823D1E"/>
    <w:rsid w:val="00824689"/>
    <w:rsid w:val="00827DE0"/>
    <w:rsid w:val="0083014C"/>
    <w:rsid w:val="00831F9F"/>
    <w:rsid w:val="008323F0"/>
    <w:rsid w:val="008346E7"/>
    <w:rsid w:val="008357EF"/>
    <w:rsid w:val="00840A9A"/>
    <w:rsid w:val="00842AEE"/>
    <w:rsid w:val="00844C87"/>
    <w:rsid w:val="008455C6"/>
    <w:rsid w:val="00845B35"/>
    <w:rsid w:val="00846CC2"/>
    <w:rsid w:val="00847C1E"/>
    <w:rsid w:val="0085020A"/>
    <w:rsid w:val="0085694C"/>
    <w:rsid w:val="00862A5C"/>
    <w:rsid w:val="00864D2E"/>
    <w:rsid w:val="00867248"/>
    <w:rsid w:val="00867F72"/>
    <w:rsid w:val="00870D25"/>
    <w:rsid w:val="00870F0E"/>
    <w:rsid w:val="0087211A"/>
    <w:rsid w:val="00873E6F"/>
    <w:rsid w:val="00874502"/>
    <w:rsid w:val="008750AA"/>
    <w:rsid w:val="008753D4"/>
    <w:rsid w:val="00880550"/>
    <w:rsid w:val="00881148"/>
    <w:rsid w:val="008816B6"/>
    <w:rsid w:val="008902CC"/>
    <w:rsid w:val="0089348A"/>
    <w:rsid w:val="00895BAC"/>
    <w:rsid w:val="00895F4D"/>
    <w:rsid w:val="008A3034"/>
    <w:rsid w:val="008A3F70"/>
    <w:rsid w:val="008A3F73"/>
    <w:rsid w:val="008B18F2"/>
    <w:rsid w:val="008B2A15"/>
    <w:rsid w:val="008B6880"/>
    <w:rsid w:val="008B79E6"/>
    <w:rsid w:val="008B7EAA"/>
    <w:rsid w:val="008C19EF"/>
    <w:rsid w:val="008C1C0D"/>
    <w:rsid w:val="008C408E"/>
    <w:rsid w:val="008C4593"/>
    <w:rsid w:val="008C4736"/>
    <w:rsid w:val="008C5EC9"/>
    <w:rsid w:val="008C6E04"/>
    <w:rsid w:val="008D25B6"/>
    <w:rsid w:val="008D2D39"/>
    <w:rsid w:val="008D36C0"/>
    <w:rsid w:val="008D7156"/>
    <w:rsid w:val="008D7E5F"/>
    <w:rsid w:val="008E0248"/>
    <w:rsid w:val="008E24E6"/>
    <w:rsid w:val="008E4346"/>
    <w:rsid w:val="008E48AA"/>
    <w:rsid w:val="008E5550"/>
    <w:rsid w:val="008E5F05"/>
    <w:rsid w:val="008E60E4"/>
    <w:rsid w:val="008E6647"/>
    <w:rsid w:val="008E679E"/>
    <w:rsid w:val="008E79B2"/>
    <w:rsid w:val="008F1E3B"/>
    <w:rsid w:val="008F2CE6"/>
    <w:rsid w:val="008F44C7"/>
    <w:rsid w:val="008F7567"/>
    <w:rsid w:val="0090058E"/>
    <w:rsid w:val="00900BEC"/>
    <w:rsid w:val="00900DBF"/>
    <w:rsid w:val="009035F4"/>
    <w:rsid w:val="00904660"/>
    <w:rsid w:val="00904AAC"/>
    <w:rsid w:val="009055B1"/>
    <w:rsid w:val="00912BD0"/>
    <w:rsid w:val="00912DF2"/>
    <w:rsid w:val="0091369C"/>
    <w:rsid w:val="009154C9"/>
    <w:rsid w:val="00915B53"/>
    <w:rsid w:val="009179B5"/>
    <w:rsid w:val="00923B93"/>
    <w:rsid w:val="00925742"/>
    <w:rsid w:val="00927A97"/>
    <w:rsid w:val="00930CEF"/>
    <w:rsid w:val="009321FB"/>
    <w:rsid w:val="00935F36"/>
    <w:rsid w:val="00937396"/>
    <w:rsid w:val="00937A63"/>
    <w:rsid w:val="00937C3C"/>
    <w:rsid w:val="009414E8"/>
    <w:rsid w:val="0094158B"/>
    <w:rsid w:val="00941FC8"/>
    <w:rsid w:val="009423E6"/>
    <w:rsid w:val="009447BE"/>
    <w:rsid w:val="00945D58"/>
    <w:rsid w:val="00951B70"/>
    <w:rsid w:val="00951FDB"/>
    <w:rsid w:val="00952FE8"/>
    <w:rsid w:val="0095349C"/>
    <w:rsid w:val="009561EA"/>
    <w:rsid w:val="00956FFE"/>
    <w:rsid w:val="009605E2"/>
    <w:rsid w:val="009617FC"/>
    <w:rsid w:val="00962239"/>
    <w:rsid w:val="0096506F"/>
    <w:rsid w:val="00966E9E"/>
    <w:rsid w:val="0097026E"/>
    <w:rsid w:val="00970B0F"/>
    <w:rsid w:val="00972C5A"/>
    <w:rsid w:val="00977125"/>
    <w:rsid w:val="00980B94"/>
    <w:rsid w:val="009832A5"/>
    <w:rsid w:val="00983555"/>
    <w:rsid w:val="00983640"/>
    <w:rsid w:val="009836BD"/>
    <w:rsid w:val="009909C9"/>
    <w:rsid w:val="00992773"/>
    <w:rsid w:val="00993B90"/>
    <w:rsid w:val="00994402"/>
    <w:rsid w:val="0099525B"/>
    <w:rsid w:val="009A274D"/>
    <w:rsid w:val="009A4129"/>
    <w:rsid w:val="009A5FCB"/>
    <w:rsid w:val="009A7271"/>
    <w:rsid w:val="009B162B"/>
    <w:rsid w:val="009B18FA"/>
    <w:rsid w:val="009B1CC8"/>
    <w:rsid w:val="009B20BB"/>
    <w:rsid w:val="009B563A"/>
    <w:rsid w:val="009B5CCE"/>
    <w:rsid w:val="009C1079"/>
    <w:rsid w:val="009C22E4"/>
    <w:rsid w:val="009C3F96"/>
    <w:rsid w:val="009C4375"/>
    <w:rsid w:val="009C4C31"/>
    <w:rsid w:val="009C4F39"/>
    <w:rsid w:val="009C5D10"/>
    <w:rsid w:val="009C71BA"/>
    <w:rsid w:val="009D00BA"/>
    <w:rsid w:val="009D7FA3"/>
    <w:rsid w:val="009E0B56"/>
    <w:rsid w:val="009E1ACF"/>
    <w:rsid w:val="009F07F9"/>
    <w:rsid w:val="009F0ED4"/>
    <w:rsid w:val="009F25EA"/>
    <w:rsid w:val="009F47D0"/>
    <w:rsid w:val="009F4BC0"/>
    <w:rsid w:val="009F548D"/>
    <w:rsid w:val="00A009DE"/>
    <w:rsid w:val="00A03374"/>
    <w:rsid w:val="00A0374A"/>
    <w:rsid w:val="00A04459"/>
    <w:rsid w:val="00A04AA3"/>
    <w:rsid w:val="00A053FD"/>
    <w:rsid w:val="00A06AF7"/>
    <w:rsid w:val="00A11B9F"/>
    <w:rsid w:val="00A12485"/>
    <w:rsid w:val="00A12512"/>
    <w:rsid w:val="00A13183"/>
    <w:rsid w:val="00A1518F"/>
    <w:rsid w:val="00A1523D"/>
    <w:rsid w:val="00A168D9"/>
    <w:rsid w:val="00A23469"/>
    <w:rsid w:val="00A23B1E"/>
    <w:rsid w:val="00A26A23"/>
    <w:rsid w:val="00A26DB2"/>
    <w:rsid w:val="00A26DEF"/>
    <w:rsid w:val="00A26E13"/>
    <w:rsid w:val="00A279F7"/>
    <w:rsid w:val="00A31AE5"/>
    <w:rsid w:val="00A3215F"/>
    <w:rsid w:val="00A348B1"/>
    <w:rsid w:val="00A354D9"/>
    <w:rsid w:val="00A35DC7"/>
    <w:rsid w:val="00A41A01"/>
    <w:rsid w:val="00A42439"/>
    <w:rsid w:val="00A4301C"/>
    <w:rsid w:val="00A43B35"/>
    <w:rsid w:val="00A44F7F"/>
    <w:rsid w:val="00A45A1A"/>
    <w:rsid w:val="00A45AD3"/>
    <w:rsid w:val="00A4616A"/>
    <w:rsid w:val="00A50AB9"/>
    <w:rsid w:val="00A519A9"/>
    <w:rsid w:val="00A52B76"/>
    <w:rsid w:val="00A573C1"/>
    <w:rsid w:val="00A57D07"/>
    <w:rsid w:val="00A62B0B"/>
    <w:rsid w:val="00A656F8"/>
    <w:rsid w:val="00A65861"/>
    <w:rsid w:val="00A65E66"/>
    <w:rsid w:val="00A65ED1"/>
    <w:rsid w:val="00A67A44"/>
    <w:rsid w:val="00A70224"/>
    <w:rsid w:val="00A75007"/>
    <w:rsid w:val="00A75A35"/>
    <w:rsid w:val="00A77832"/>
    <w:rsid w:val="00A811B0"/>
    <w:rsid w:val="00A81EBE"/>
    <w:rsid w:val="00A855AD"/>
    <w:rsid w:val="00A865FB"/>
    <w:rsid w:val="00A868E8"/>
    <w:rsid w:val="00A86E10"/>
    <w:rsid w:val="00A878F1"/>
    <w:rsid w:val="00A90784"/>
    <w:rsid w:val="00A911B3"/>
    <w:rsid w:val="00A91208"/>
    <w:rsid w:val="00A91210"/>
    <w:rsid w:val="00A926DB"/>
    <w:rsid w:val="00A955FE"/>
    <w:rsid w:val="00A977BC"/>
    <w:rsid w:val="00AA25F6"/>
    <w:rsid w:val="00AA30E3"/>
    <w:rsid w:val="00AA4C62"/>
    <w:rsid w:val="00AA52C2"/>
    <w:rsid w:val="00AA6A4F"/>
    <w:rsid w:val="00AA7C69"/>
    <w:rsid w:val="00AB08BC"/>
    <w:rsid w:val="00AB1368"/>
    <w:rsid w:val="00AB572A"/>
    <w:rsid w:val="00AC176C"/>
    <w:rsid w:val="00AC67C8"/>
    <w:rsid w:val="00AC6E7A"/>
    <w:rsid w:val="00AC7923"/>
    <w:rsid w:val="00AC7B6D"/>
    <w:rsid w:val="00AD02CE"/>
    <w:rsid w:val="00AD3E1A"/>
    <w:rsid w:val="00AD68FF"/>
    <w:rsid w:val="00AD6D09"/>
    <w:rsid w:val="00AD7C8D"/>
    <w:rsid w:val="00AE0FBC"/>
    <w:rsid w:val="00AE227D"/>
    <w:rsid w:val="00AE4282"/>
    <w:rsid w:val="00AE4348"/>
    <w:rsid w:val="00AE6345"/>
    <w:rsid w:val="00AF11B2"/>
    <w:rsid w:val="00AF28A6"/>
    <w:rsid w:val="00AF2DC1"/>
    <w:rsid w:val="00AF421C"/>
    <w:rsid w:val="00AF597A"/>
    <w:rsid w:val="00AF7B9C"/>
    <w:rsid w:val="00B03F10"/>
    <w:rsid w:val="00B05D36"/>
    <w:rsid w:val="00B06BF7"/>
    <w:rsid w:val="00B10C24"/>
    <w:rsid w:val="00B10E9F"/>
    <w:rsid w:val="00B141C1"/>
    <w:rsid w:val="00B14785"/>
    <w:rsid w:val="00B16A65"/>
    <w:rsid w:val="00B17490"/>
    <w:rsid w:val="00B2241A"/>
    <w:rsid w:val="00B225F8"/>
    <w:rsid w:val="00B236B5"/>
    <w:rsid w:val="00B24609"/>
    <w:rsid w:val="00B276EF"/>
    <w:rsid w:val="00B30D6C"/>
    <w:rsid w:val="00B3158C"/>
    <w:rsid w:val="00B32DF6"/>
    <w:rsid w:val="00B33398"/>
    <w:rsid w:val="00B34027"/>
    <w:rsid w:val="00B35043"/>
    <w:rsid w:val="00B35378"/>
    <w:rsid w:val="00B372B5"/>
    <w:rsid w:val="00B400DE"/>
    <w:rsid w:val="00B41C7B"/>
    <w:rsid w:val="00B42718"/>
    <w:rsid w:val="00B4306A"/>
    <w:rsid w:val="00B43189"/>
    <w:rsid w:val="00B457FF"/>
    <w:rsid w:val="00B46D13"/>
    <w:rsid w:val="00B4733F"/>
    <w:rsid w:val="00B53227"/>
    <w:rsid w:val="00B558DA"/>
    <w:rsid w:val="00B565C6"/>
    <w:rsid w:val="00B56C3A"/>
    <w:rsid w:val="00B56F92"/>
    <w:rsid w:val="00B62502"/>
    <w:rsid w:val="00B65559"/>
    <w:rsid w:val="00B6778C"/>
    <w:rsid w:val="00B706C7"/>
    <w:rsid w:val="00B767BE"/>
    <w:rsid w:val="00B77F0C"/>
    <w:rsid w:val="00B812AF"/>
    <w:rsid w:val="00B85C2F"/>
    <w:rsid w:val="00B85D61"/>
    <w:rsid w:val="00B86027"/>
    <w:rsid w:val="00B867C3"/>
    <w:rsid w:val="00B87C39"/>
    <w:rsid w:val="00B902A4"/>
    <w:rsid w:val="00B928D1"/>
    <w:rsid w:val="00B928ED"/>
    <w:rsid w:val="00B969ED"/>
    <w:rsid w:val="00B96D76"/>
    <w:rsid w:val="00BB00B9"/>
    <w:rsid w:val="00BB016B"/>
    <w:rsid w:val="00BB1806"/>
    <w:rsid w:val="00BB5331"/>
    <w:rsid w:val="00BB6D38"/>
    <w:rsid w:val="00BC0380"/>
    <w:rsid w:val="00BC1F8C"/>
    <w:rsid w:val="00BC2DB8"/>
    <w:rsid w:val="00BC3054"/>
    <w:rsid w:val="00BC7E53"/>
    <w:rsid w:val="00BD0F53"/>
    <w:rsid w:val="00BD1432"/>
    <w:rsid w:val="00BD166B"/>
    <w:rsid w:val="00BD59A9"/>
    <w:rsid w:val="00BD5CD8"/>
    <w:rsid w:val="00BE3472"/>
    <w:rsid w:val="00BE485A"/>
    <w:rsid w:val="00BE6056"/>
    <w:rsid w:val="00BE6634"/>
    <w:rsid w:val="00BE7682"/>
    <w:rsid w:val="00BF183F"/>
    <w:rsid w:val="00BF3FCC"/>
    <w:rsid w:val="00BF5F20"/>
    <w:rsid w:val="00C012A1"/>
    <w:rsid w:val="00C0185E"/>
    <w:rsid w:val="00C02984"/>
    <w:rsid w:val="00C03844"/>
    <w:rsid w:val="00C068B0"/>
    <w:rsid w:val="00C101CF"/>
    <w:rsid w:val="00C106F2"/>
    <w:rsid w:val="00C1116E"/>
    <w:rsid w:val="00C116A2"/>
    <w:rsid w:val="00C120F3"/>
    <w:rsid w:val="00C123EE"/>
    <w:rsid w:val="00C12E33"/>
    <w:rsid w:val="00C17F2B"/>
    <w:rsid w:val="00C23EB0"/>
    <w:rsid w:val="00C26081"/>
    <w:rsid w:val="00C26DFE"/>
    <w:rsid w:val="00C27127"/>
    <w:rsid w:val="00C2755B"/>
    <w:rsid w:val="00C30669"/>
    <w:rsid w:val="00C318BA"/>
    <w:rsid w:val="00C31AB2"/>
    <w:rsid w:val="00C338B9"/>
    <w:rsid w:val="00C34463"/>
    <w:rsid w:val="00C3555E"/>
    <w:rsid w:val="00C3726A"/>
    <w:rsid w:val="00C37663"/>
    <w:rsid w:val="00C40AEC"/>
    <w:rsid w:val="00C40C84"/>
    <w:rsid w:val="00C40F2C"/>
    <w:rsid w:val="00C420CC"/>
    <w:rsid w:val="00C42205"/>
    <w:rsid w:val="00C42883"/>
    <w:rsid w:val="00C4333F"/>
    <w:rsid w:val="00C43E1D"/>
    <w:rsid w:val="00C44315"/>
    <w:rsid w:val="00C46F3F"/>
    <w:rsid w:val="00C507E3"/>
    <w:rsid w:val="00C52316"/>
    <w:rsid w:val="00C5311E"/>
    <w:rsid w:val="00C54CC0"/>
    <w:rsid w:val="00C54DBE"/>
    <w:rsid w:val="00C56243"/>
    <w:rsid w:val="00C610A3"/>
    <w:rsid w:val="00C6240D"/>
    <w:rsid w:val="00C634A0"/>
    <w:rsid w:val="00C63C08"/>
    <w:rsid w:val="00C669C7"/>
    <w:rsid w:val="00C67477"/>
    <w:rsid w:val="00C67712"/>
    <w:rsid w:val="00C67833"/>
    <w:rsid w:val="00C706F1"/>
    <w:rsid w:val="00C708B4"/>
    <w:rsid w:val="00C70B44"/>
    <w:rsid w:val="00C73B7D"/>
    <w:rsid w:val="00C74B4D"/>
    <w:rsid w:val="00C76862"/>
    <w:rsid w:val="00C77E23"/>
    <w:rsid w:val="00C81778"/>
    <w:rsid w:val="00C81FA0"/>
    <w:rsid w:val="00C862DA"/>
    <w:rsid w:val="00C9062E"/>
    <w:rsid w:val="00C927E5"/>
    <w:rsid w:val="00C92AF9"/>
    <w:rsid w:val="00C92DC3"/>
    <w:rsid w:val="00C9404F"/>
    <w:rsid w:val="00C94270"/>
    <w:rsid w:val="00C95ECB"/>
    <w:rsid w:val="00C96C4F"/>
    <w:rsid w:val="00C9714A"/>
    <w:rsid w:val="00C976A3"/>
    <w:rsid w:val="00CA0F4A"/>
    <w:rsid w:val="00CA6CB5"/>
    <w:rsid w:val="00CA7502"/>
    <w:rsid w:val="00CB086F"/>
    <w:rsid w:val="00CB0986"/>
    <w:rsid w:val="00CB0A5D"/>
    <w:rsid w:val="00CB5BA1"/>
    <w:rsid w:val="00CB5C28"/>
    <w:rsid w:val="00CB697D"/>
    <w:rsid w:val="00CC302D"/>
    <w:rsid w:val="00CC3A50"/>
    <w:rsid w:val="00CC3CB3"/>
    <w:rsid w:val="00CC43E4"/>
    <w:rsid w:val="00CC4B36"/>
    <w:rsid w:val="00CC5EE1"/>
    <w:rsid w:val="00CD3C8B"/>
    <w:rsid w:val="00CD4C4E"/>
    <w:rsid w:val="00CD53D3"/>
    <w:rsid w:val="00CE0128"/>
    <w:rsid w:val="00CE3D7A"/>
    <w:rsid w:val="00CE571D"/>
    <w:rsid w:val="00CE706C"/>
    <w:rsid w:val="00CF0C38"/>
    <w:rsid w:val="00CF1BBD"/>
    <w:rsid w:val="00CF23BB"/>
    <w:rsid w:val="00CF36B0"/>
    <w:rsid w:val="00CF6003"/>
    <w:rsid w:val="00D00634"/>
    <w:rsid w:val="00D00813"/>
    <w:rsid w:val="00D01C19"/>
    <w:rsid w:val="00D0274C"/>
    <w:rsid w:val="00D06055"/>
    <w:rsid w:val="00D117BC"/>
    <w:rsid w:val="00D12244"/>
    <w:rsid w:val="00D123CC"/>
    <w:rsid w:val="00D16C67"/>
    <w:rsid w:val="00D17494"/>
    <w:rsid w:val="00D21E42"/>
    <w:rsid w:val="00D23D30"/>
    <w:rsid w:val="00D24948"/>
    <w:rsid w:val="00D26C4D"/>
    <w:rsid w:val="00D30D08"/>
    <w:rsid w:val="00D33D0F"/>
    <w:rsid w:val="00D35270"/>
    <w:rsid w:val="00D370ED"/>
    <w:rsid w:val="00D401CC"/>
    <w:rsid w:val="00D40D7F"/>
    <w:rsid w:val="00D416F0"/>
    <w:rsid w:val="00D41E6F"/>
    <w:rsid w:val="00D4236E"/>
    <w:rsid w:val="00D43342"/>
    <w:rsid w:val="00D44075"/>
    <w:rsid w:val="00D44C13"/>
    <w:rsid w:val="00D45373"/>
    <w:rsid w:val="00D45A7A"/>
    <w:rsid w:val="00D467EC"/>
    <w:rsid w:val="00D467F6"/>
    <w:rsid w:val="00D50F02"/>
    <w:rsid w:val="00D51897"/>
    <w:rsid w:val="00D555A2"/>
    <w:rsid w:val="00D606DE"/>
    <w:rsid w:val="00D62F4A"/>
    <w:rsid w:val="00D63FAD"/>
    <w:rsid w:val="00D63FBB"/>
    <w:rsid w:val="00D65FB3"/>
    <w:rsid w:val="00D66092"/>
    <w:rsid w:val="00D67562"/>
    <w:rsid w:val="00D67F56"/>
    <w:rsid w:val="00D75507"/>
    <w:rsid w:val="00D75771"/>
    <w:rsid w:val="00D81117"/>
    <w:rsid w:val="00D83098"/>
    <w:rsid w:val="00D8311D"/>
    <w:rsid w:val="00D8577D"/>
    <w:rsid w:val="00D86172"/>
    <w:rsid w:val="00D877CB"/>
    <w:rsid w:val="00D90183"/>
    <w:rsid w:val="00D905E6"/>
    <w:rsid w:val="00D91997"/>
    <w:rsid w:val="00D91E35"/>
    <w:rsid w:val="00D924D2"/>
    <w:rsid w:val="00D93FE9"/>
    <w:rsid w:val="00D9454A"/>
    <w:rsid w:val="00DA05EC"/>
    <w:rsid w:val="00DA14A4"/>
    <w:rsid w:val="00DA69C4"/>
    <w:rsid w:val="00DA6ED5"/>
    <w:rsid w:val="00DB2A55"/>
    <w:rsid w:val="00DB3DD4"/>
    <w:rsid w:val="00DB59C9"/>
    <w:rsid w:val="00DB60A9"/>
    <w:rsid w:val="00DB772C"/>
    <w:rsid w:val="00DC1D83"/>
    <w:rsid w:val="00DC3561"/>
    <w:rsid w:val="00DC40F5"/>
    <w:rsid w:val="00DC425C"/>
    <w:rsid w:val="00DC4CF1"/>
    <w:rsid w:val="00DC61C5"/>
    <w:rsid w:val="00DC7515"/>
    <w:rsid w:val="00DD1DB5"/>
    <w:rsid w:val="00DD2296"/>
    <w:rsid w:val="00DD341B"/>
    <w:rsid w:val="00DD3CE4"/>
    <w:rsid w:val="00DD4378"/>
    <w:rsid w:val="00DD5CBA"/>
    <w:rsid w:val="00DD642C"/>
    <w:rsid w:val="00DD64CD"/>
    <w:rsid w:val="00DD7F0C"/>
    <w:rsid w:val="00DE237B"/>
    <w:rsid w:val="00DE2C18"/>
    <w:rsid w:val="00DE4DAD"/>
    <w:rsid w:val="00DE750D"/>
    <w:rsid w:val="00DF0FC5"/>
    <w:rsid w:val="00DF12A1"/>
    <w:rsid w:val="00DF4D8D"/>
    <w:rsid w:val="00DF7101"/>
    <w:rsid w:val="00E018BB"/>
    <w:rsid w:val="00E01E42"/>
    <w:rsid w:val="00E03066"/>
    <w:rsid w:val="00E04A89"/>
    <w:rsid w:val="00E06650"/>
    <w:rsid w:val="00E06A5F"/>
    <w:rsid w:val="00E06B53"/>
    <w:rsid w:val="00E11653"/>
    <w:rsid w:val="00E13615"/>
    <w:rsid w:val="00E13EDD"/>
    <w:rsid w:val="00E157A6"/>
    <w:rsid w:val="00E20D45"/>
    <w:rsid w:val="00E22393"/>
    <w:rsid w:val="00E276D5"/>
    <w:rsid w:val="00E31180"/>
    <w:rsid w:val="00E31F90"/>
    <w:rsid w:val="00E32368"/>
    <w:rsid w:val="00E32435"/>
    <w:rsid w:val="00E340B6"/>
    <w:rsid w:val="00E34321"/>
    <w:rsid w:val="00E352FA"/>
    <w:rsid w:val="00E35630"/>
    <w:rsid w:val="00E3616F"/>
    <w:rsid w:val="00E40787"/>
    <w:rsid w:val="00E41D03"/>
    <w:rsid w:val="00E45B7B"/>
    <w:rsid w:val="00E46E89"/>
    <w:rsid w:val="00E50BDC"/>
    <w:rsid w:val="00E5189D"/>
    <w:rsid w:val="00E550D4"/>
    <w:rsid w:val="00E5619A"/>
    <w:rsid w:val="00E56F92"/>
    <w:rsid w:val="00E57AFA"/>
    <w:rsid w:val="00E62551"/>
    <w:rsid w:val="00E62D0C"/>
    <w:rsid w:val="00E62D11"/>
    <w:rsid w:val="00E63F76"/>
    <w:rsid w:val="00E65342"/>
    <w:rsid w:val="00E6597A"/>
    <w:rsid w:val="00E65A79"/>
    <w:rsid w:val="00E75256"/>
    <w:rsid w:val="00E770B3"/>
    <w:rsid w:val="00E7751E"/>
    <w:rsid w:val="00E777AB"/>
    <w:rsid w:val="00E869D8"/>
    <w:rsid w:val="00E92131"/>
    <w:rsid w:val="00E92D87"/>
    <w:rsid w:val="00E93C69"/>
    <w:rsid w:val="00E95580"/>
    <w:rsid w:val="00E9586C"/>
    <w:rsid w:val="00E958DA"/>
    <w:rsid w:val="00E95A83"/>
    <w:rsid w:val="00EA0BF3"/>
    <w:rsid w:val="00EA3AEF"/>
    <w:rsid w:val="00EA7C90"/>
    <w:rsid w:val="00EB2C41"/>
    <w:rsid w:val="00EB4F16"/>
    <w:rsid w:val="00EB70D1"/>
    <w:rsid w:val="00EB725F"/>
    <w:rsid w:val="00EB7771"/>
    <w:rsid w:val="00EC0AD0"/>
    <w:rsid w:val="00EC2DE1"/>
    <w:rsid w:val="00EC3009"/>
    <w:rsid w:val="00EC5394"/>
    <w:rsid w:val="00EC5D41"/>
    <w:rsid w:val="00EC6CCB"/>
    <w:rsid w:val="00ED2015"/>
    <w:rsid w:val="00ED2701"/>
    <w:rsid w:val="00ED27C2"/>
    <w:rsid w:val="00ED363C"/>
    <w:rsid w:val="00ED487F"/>
    <w:rsid w:val="00ED4E69"/>
    <w:rsid w:val="00ED4F81"/>
    <w:rsid w:val="00ED58EF"/>
    <w:rsid w:val="00EE166D"/>
    <w:rsid w:val="00EE3647"/>
    <w:rsid w:val="00EE453A"/>
    <w:rsid w:val="00EE5D15"/>
    <w:rsid w:val="00EE6A59"/>
    <w:rsid w:val="00EF0BFB"/>
    <w:rsid w:val="00EF0E05"/>
    <w:rsid w:val="00EF2E92"/>
    <w:rsid w:val="00EF4435"/>
    <w:rsid w:val="00F00625"/>
    <w:rsid w:val="00F012A9"/>
    <w:rsid w:val="00F01AB3"/>
    <w:rsid w:val="00F02488"/>
    <w:rsid w:val="00F02F46"/>
    <w:rsid w:val="00F03631"/>
    <w:rsid w:val="00F04899"/>
    <w:rsid w:val="00F118CB"/>
    <w:rsid w:val="00F12E36"/>
    <w:rsid w:val="00F13AD4"/>
    <w:rsid w:val="00F149CD"/>
    <w:rsid w:val="00F15E56"/>
    <w:rsid w:val="00F16A5C"/>
    <w:rsid w:val="00F16BB0"/>
    <w:rsid w:val="00F16F8D"/>
    <w:rsid w:val="00F179DD"/>
    <w:rsid w:val="00F2167B"/>
    <w:rsid w:val="00F262FE"/>
    <w:rsid w:val="00F26630"/>
    <w:rsid w:val="00F26F1C"/>
    <w:rsid w:val="00F309D6"/>
    <w:rsid w:val="00F3171D"/>
    <w:rsid w:val="00F328F9"/>
    <w:rsid w:val="00F33D65"/>
    <w:rsid w:val="00F34842"/>
    <w:rsid w:val="00F373DF"/>
    <w:rsid w:val="00F37BF3"/>
    <w:rsid w:val="00F409EB"/>
    <w:rsid w:val="00F41CFE"/>
    <w:rsid w:val="00F4239D"/>
    <w:rsid w:val="00F43A3E"/>
    <w:rsid w:val="00F45E72"/>
    <w:rsid w:val="00F47BCF"/>
    <w:rsid w:val="00F54CB0"/>
    <w:rsid w:val="00F55E07"/>
    <w:rsid w:val="00F606E6"/>
    <w:rsid w:val="00F60D5D"/>
    <w:rsid w:val="00F61264"/>
    <w:rsid w:val="00F61696"/>
    <w:rsid w:val="00F61831"/>
    <w:rsid w:val="00F643DB"/>
    <w:rsid w:val="00F64AC6"/>
    <w:rsid w:val="00F66237"/>
    <w:rsid w:val="00F73D9F"/>
    <w:rsid w:val="00F74750"/>
    <w:rsid w:val="00F74EF1"/>
    <w:rsid w:val="00F74EFB"/>
    <w:rsid w:val="00F76FE5"/>
    <w:rsid w:val="00F80465"/>
    <w:rsid w:val="00F807BD"/>
    <w:rsid w:val="00F84209"/>
    <w:rsid w:val="00F914C3"/>
    <w:rsid w:val="00F9150F"/>
    <w:rsid w:val="00F91CD4"/>
    <w:rsid w:val="00F9436E"/>
    <w:rsid w:val="00F97D78"/>
    <w:rsid w:val="00FA1482"/>
    <w:rsid w:val="00FA1FE4"/>
    <w:rsid w:val="00FA236B"/>
    <w:rsid w:val="00FA2B86"/>
    <w:rsid w:val="00FA3BC9"/>
    <w:rsid w:val="00FA65B6"/>
    <w:rsid w:val="00FA7094"/>
    <w:rsid w:val="00FB0704"/>
    <w:rsid w:val="00FB2834"/>
    <w:rsid w:val="00FB3A49"/>
    <w:rsid w:val="00FB4736"/>
    <w:rsid w:val="00FB5862"/>
    <w:rsid w:val="00FB7DB4"/>
    <w:rsid w:val="00FC02E2"/>
    <w:rsid w:val="00FC078C"/>
    <w:rsid w:val="00FC165B"/>
    <w:rsid w:val="00FC227D"/>
    <w:rsid w:val="00FC253F"/>
    <w:rsid w:val="00FC58A8"/>
    <w:rsid w:val="00FC7358"/>
    <w:rsid w:val="00FD205F"/>
    <w:rsid w:val="00FD3107"/>
    <w:rsid w:val="00FD5117"/>
    <w:rsid w:val="00FE1503"/>
    <w:rsid w:val="00FE24EA"/>
    <w:rsid w:val="00FE457B"/>
    <w:rsid w:val="00FE48F9"/>
    <w:rsid w:val="00FE7DBC"/>
    <w:rsid w:val="00FF03B6"/>
    <w:rsid w:val="00FF0600"/>
    <w:rsid w:val="00FF099D"/>
    <w:rsid w:val="00FF2408"/>
    <w:rsid w:val="00FF548D"/>
    <w:rsid w:val="00FF6E75"/>
    <w:rsid w:val="00FF6F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Normal"/>
    <w:link w:val="Heading1Char"/>
    <w:qFormat/>
    <w:rsid w:val="00DD341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262FE"/>
    <w:pPr>
      <w:keepNext/>
      <w:spacing w:before="240" w:after="60"/>
      <w:outlineLvl w:val="2"/>
    </w:pPr>
    <w:rPr>
      <w:rFonts w:ascii="Arial" w:hAnsi="Arial"/>
      <w:b/>
      <w:bCs/>
      <w:sz w:val="24"/>
      <w:szCs w:val="26"/>
      <w:lang w:val="x-none"/>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262FE"/>
    <w:rPr>
      <w:rFonts w:ascii="Arial" w:eastAsia="Batang" w:hAnsi="Arial" w:cs="Times New Roman"/>
      <w:b/>
      <w:bCs/>
      <w:kern w:val="0"/>
      <w:sz w:val="24"/>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1"/>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unhideWhenUsed/>
    <w:rsid w:val="00527497"/>
  </w:style>
  <w:style w:type="character" w:customStyle="1" w:styleId="BodyTextChar">
    <w:name w:val="Body Text Char"/>
    <w:basedOn w:val="DefaultParagraphFont"/>
    <w:link w:val="BodyText"/>
    <w:uiPriority w:val="99"/>
    <w:rsid w:val="00527497"/>
    <w:rPr>
      <w:rFonts w:ascii="Times" w:eastAsia="Batang" w:hAnsi="Times" w:cs="Times New Roman"/>
      <w:kern w:val="0"/>
      <w:sz w:val="20"/>
      <w:szCs w:val="24"/>
      <w:lang w:val="en-GB" w:eastAsia="en-US"/>
    </w:rPr>
  </w:style>
  <w:style w:type="paragraph" w:styleId="ListParagraph">
    <w:name w:val="List Paragraph"/>
    <w:aliases w:val="- Bullets"/>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link w:val="LGTdoc1Char"/>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unhideWhenUsed/>
    <w:rsid w:val="001D2A35"/>
    <w:rPr>
      <w:szCs w:val="20"/>
    </w:rPr>
  </w:style>
  <w:style w:type="character" w:customStyle="1" w:styleId="CommentTextChar">
    <w:name w:val="Comment Text Char"/>
    <w:basedOn w:val="DefaultParagraphFont"/>
    <w:link w:val="CommentText"/>
    <w:uiPriority w:val="99"/>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PlaceholderText">
    <w:name w:val="Placeholder Text"/>
    <w:basedOn w:val="DefaultParagraphFont"/>
    <w:uiPriority w:val="99"/>
    <w:semiHidden/>
    <w:rsid w:val="00C634A0"/>
    <w:rPr>
      <w:color w:val="808080"/>
    </w:rPr>
  </w:style>
  <w:style w:type="paragraph" w:styleId="NormalWeb">
    <w:name w:val="Normal (Web)"/>
    <w:basedOn w:val="Normal"/>
    <w:uiPriority w:val="99"/>
    <w:semiHidden/>
    <w:unhideWhenUsed/>
    <w:rsid w:val="003827B2"/>
    <w:pPr>
      <w:spacing w:before="100" w:beforeAutospacing="1" w:after="100" w:afterAutospacing="1"/>
    </w:pPr>
    <w:rPr>
      <w:rFonts w:ascii="SimSun" w:eastAsia="SimSun" w:hAnsi="SimSun" w:cs="SimSun"/>
      <w:sz w:val="24"/>
      <w:lang w:val="en-US" w:eastAsia="zh-CN"/>
    </w:rPr>
  </w:style>
  <w:style w:type="paragraph" w:customStyle="1" w:styleId="References">
    <w:name w:val="References"/>
    <w:basedOn w:val="Normal"/>
    <w:rsid w:val="002C6EC9"/>
    <w:pPr>
      <w:numPr>
        <w:numId w:val="19"/>
      </w:numPr>
      <w:autoSpaceDE w:val="0"/>
      <w:autoSpaceDN w:val="0"/>
      <w:snapToGrid w:val="0"/>
      <w:spacing w:after="60"/>
      <w:jc w:val="both"/>
    </w:pPr>
    <w:rPr>
      <w:rFonts w:ascii="Times New Roman" w:eastAsia="SimSun" w:hAnsi="Times New Roman"/>
      <w:szCs w:val="16"/>
      <w:lang w:val="en-US"/>
    </w:rPr>
  </w:style>
  <w:style w:type="character" w:customStyle="1" w:styleId="LGTdoc1Char">
    <w:name w:val="LGTdoc_제목1 Char"/>
    <w:basedOn w:val="DefaultParagraphFont"/>
    <w:link w:val="LGTdoc1"/>
    <w:rsid w:val="006A5D18"/>
    <w:rPr>
      <w:rFonts w:ascii="Times New Roman" w:eastAsia="Batang" w:hAnsi="Times New Roman" w:cs="Times New Roman"/>
      <w:b/>
      <w:snapToGrid w:val="0"/>
      <w:kern w:val="0"/>
      <w:sz w:val="28"/>
      <w:szCs w:val="20"/>
      <w:lang w:val="en-GB" w:eastAsia="ko-KR"/>
    </w:rPr>
  </w:style>
  <w:style w:type="paragraph" w:customStyle="1" w:styleId="Style11">
    <w:name w:val="Style1.1"/>
    <w:basedOn w:val="BodyText"/>
    <w:link w:val="Style11Char"/>
    <w:qFormat/>
    <w:rsid w:val="003B5919"/>
    <w:pPr>
      <w:tabs>
        <w:tab w:val="num" w:pos="-806"/>
      </w:tabs>
      <w:spacing w:before="240" w:after="120"/>
      <w:ind w:left="-806" w:hanging="567"/>
      <w:jc w:val="both"/>
    </w:pPr>
    <w:rPr>
      <w:rFonts w:ascii="Arial" w:eastAsia="MS Mincho" w:hAnsi="Arial"/>
      <w:b/>
      <w:sz w:val="24"/>
      <w:szCs w:val="20"/>
      <w:lang w:val="en-US"/>
    </w:rPr>
  </w:style>
  <w:style w:type="character" w:customStyle="1" w:styleId="Style11Char">
    <w:name w:val="Style1.1 Char"/>
    <w:link w:val="Style11"/>
    <w:rsid w:val="003B5919"/>
    <w:rPr>
      <w:rFonts w:ascii="Arial" w:eastAsia="MS Mincho" w:hAnsi="Arial" w:cs="Times New Roman"/>
      <w:b/>
      <w:kern w:val="0"/>
      <w:sz w:val="24"/>
      <w:szCs w:val="20"/>
      <w:lang w:eastAsia="en-US"/>
    </w:rPr>
  </w:style>
  <w:style w:type="paragraph" w:customStyle="1" w:styleId="111Style2">
    <w:name w:val="1.1.1 Style 2"/>
    <w:basedOn w:val="Heading4"/>
    <w:qFormat/>
    <w:rsid w:val="003B5919"/>
    <w:pPr>
      <w:numPr>
        <w:ilvl w:val="0"/>
      </w:numPr>
      <w:tabs>
        <w:tab w:val="num" w:pos="-5500"/>
      </w:tabs>
      <w:spacing w:before="180" w:after="120"/>
      <w:ind w:left="1267" w:hanging="1267"/>
    </w:pPr>
    <w:rPr>
      <w:rFonts w:eastAsia="Arial"/>
      <w:bCs w:val="0"/>
      <w:i w:val="0"/>
      <w:sz w:val="22"/>
      <w:szCs w:val="20"/>
      <w:lang w:val="en-US"/>
    </w:rPr>
  </w:style>
  <w:style w:type="paragraph" w:styleId="TOC4">
    <w:name w:val="toc 4"/>
    <w:basedOn w:val="Normal"/>
    <w:next w:val="Normal"/>
    <w:autoRedefine/>
    <w:uiPriority w:val="39"/>
    <w:rsid w:val="00E92D87"/>
    <w:pPr>
      <w:tabs>
        <w:tab w:val="left" w:pos="1440"/>
        <w:tab w:val="right" w:leader="dot" w:pos="9631"/>
      </w:tabs>
      <w:ind w:left="601"/>
    </w:pPr>
  </w:style>
  <w:style w:type="character" w:customStyle="1" w:styleId="ListParagraphChar">
    <w:name w:val="List Paragraph Char"/>
    <w:aliases w:val="- Bullets Char"/>
    <w:link w:val="ListParagraph"/>
    <w:uiPriority w:val="34"/>
    <w:qFormat/>
    <w:rsid w:val="006C63DB"/>
    <w:rPr>
      <w:rFonts w:ascii="Times" w:eastAsia="Batang" w:hAnsi="Times" w:cs="Times New Roman"/>
      <w:kern w:val="0"/>
      <w:sz w:val="20"/>
      <w:szCs w:val="24"/>
      <w:lang w:val="en-GB" w:eastAsia="en-US"/>
    </w:rPr>
  </w:style>
  <w:style w:type="paragraph" w:styleId="Revision">
    <w:name w:val="Revision"/>
    <w:hidden/>
    <w:uiPriority w:val="99"/>
    <w:semiHidden/>
    <w:rsid w:val="005C25A8"/>
    <w:rPr>
      <w:rFonts w:ascii="Times" w:eastAsia="Batang" w:hAnsi="Times" w:cs="Times New Roman"/>
      <w:kern w:val="0"/>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0A3"/>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Normal"/>
    <w:link w:val="Heading1Char"/>
    <w:qFormat/>
    <w:rsid w:val="00DD341B"/>
    <w:pPr>
      <w:keepNext/>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262FE"/>
    <w:pPr>
      <w:keepNext/>
      <w:spacing w:before="240" w:after="60"/>
      <w:outlineLvl w:val="2"/>
    </w:pPr>
    <w:rPr>
      <w:rFonts w:ascii="Arial" w:hAnsi="Arial"/>
      <w:b/>
      <w:bCs/>
      <w:sz w:val="24"/>
      <w:szCs w:val="26"/>
      <w:lang w:val="x-none"/>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262FE"/>
    <w:rPr>
      <w:rFonts w:ascii="Arial" w:eastAsia="Batang" w:hAnsi="Arial" w:cs="Times New Roman"/>
      <w:b/>
      <w:bCs/>
      <w:kern w:val="0"/>
      <w:sz w:val="24"/>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1"/>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unhideWhenUsed/>
    <w:rsid w:val="00527497"/>
  </w:style>
  <w:style w:type="character" w:customStyle="1" w:styleId="BodyTextChar">
    <w:name w:val="Body Text Char"/>
    <w:basedOn w:val="DefaultParagraphFont"/>
    <w:link w:val="BodyText"/>
    <w:uiPriority w:val="99"/>
    <w:rsid w:val="00527497"/>
    <w:rPr>
      <w:rFonts w:ascii="Times" w:eastAsia="Batang" w:hAnsi="Times" w:cs="Times New Roman"/>
      <w:kern w:val="0"/>
      <w:sz w:val="20"/>
      <w:szCs w:val="24"/>
      <w:lang w:val="en-GB" w:eastAsia="en-US"/>
    </w:rPr>
  </w:style>
  <w:style w:type="paragraph" w:styleId="ListParagraph">
    <w:name w:val="List Paragraph"/>
    <w:aliases w:val="- Bullets"/>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link w:val="LGTdoc1Char"/>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unhideWhenUsed/>
    <w:rsid w:val="001D2A35"/>
    <w:rPr>
      <w:szCs w:val="20"/>
    </w:rPr>
  </w:style>
  <w:style w:type="character" w:customStyle="1" w:styleId="CommentTextChar">
    <w:name w:val="Comment Text Char"/>
    <w:basedOn w:val="DefaultParagraphFont"/>
    <w:link w:val="CommentText"/>
    <w:uiPriority w:val="99"/>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paragraph" w:styleId="Caption">
    <w:name w:val="caption"/>
    <w:basedOn w:val="Normal"/>
    <w:next w:val="Normal"/>
    <w:uiPriority w:val="35"/>
    <w:unhideWhenUsed/>
    <w:qFormat/>
    <w:rsid w:val="007C2A25"/>
    <w:rPr>
      <w:rFonts w:asciiTheme="majorHAnsi" w:eastAsia="SimHei" w:hAnsiTheme="majorHAnsi" w:cstheme="majorBidi"/>
      <w:szCs w:val="20"/>
    </w:rPr>
  </w:style>
  <w:style w:type="character" w:styleId="PlaceholderText">
    <w:name w:val="Placeholder Text"/>
    <w:basedOn w:val="DefaultParagraphFont"/>
    <w:uiPriority w:val="99"/>
    <w:semiHidden/>
    <w:rsid w:val="00C634A0"/>
    <w:rPr>
      <w:color w:val="808080"/>
    </w:rPr>
  </w:style>
  <w:style w:type="paragraph" w:styleId="NormalWeb">
    <w:name w:val="Normal (Web)"/>
    <w:basedOn w:val="Normal"/>
    <w:uiPriority w:val="99"/>
    <w:semiHidden/>
    <w:unhideWhenUsed/>
    <w:rsid w:val="003827B2"/>
    <w:pPr>
      <w:spacing w:before="100" w:beforeAutospacing="1" w:after="100" w:afterAutospacing="1"/>
    </w:pPr>
    <w:rPr>
      <w:rFonts w:ascii="SimSun" w:eastAsia="SimSun" w:hAnsi="SimSun" w:cs="SimSun"/>
      <w:sz w:val="24"/>
      <w:lang w:val="en-US" w:eastAsia="zh-CN"/>
    </w:rPr>
  </w:style>
  <w:style w:type="paragraph" w:customStyle="1" w:styleId="References">
    <w:name w:val="References"/>
    <w:basedOn w:val="Normal"/>
    <w:rsid w:val="002C6EC9"/>
    <w:pPr>
      <w:numPr>
        <w:numId w:val="19"/>
      </w:numPr>
      <w:autoSpaceDE w:val="0"/>
      <w:autoSpaceDN w:val="0"/>
      <w:snapToGrid w:val="0"/>
      <w:spacing w:after="60"/>
      <w:jc w:val="both"/>
    </w:pPr>
    <w:rPr>
      <w:rFonts w:ascii="Times New Roman" w:eastAsia="SimSun" w:hAnsi="Times New Roman"/>
      <w:szCs w:val="16"/>
      <w:lang w:val="en-US"/>
    </w:rPr>
  </w:style>
  <w:style w:type="character" w:customStyle="1" w:styleId="LGTdoc1Char">
    <w:name w:val="LGTdoc_제목1 Char"/>
    <w:basedOn w:val="DefaultParagraphFont"/>
    <w:link w:val="LGTdoc1"/>
    <w:rsid w:val="006A5D18"/>
    <w:rPr>
      <w:rFonts w:ascii="Times New Roman" w:eastAsia="Batang" w:hAnsi="Times New Roman" w:cs="Times New Roman"/>
      <w:b/>
      <w:snapToGrid w:val="0"/>
      <w:kern w:val="0"/>
      <w:sz w:val="28"/>
      <w:szCs w:val="20"/>
      <w:lang w:val="en-GB" w:eastAsia="ko-KR"/>
    </w:rPr>
  </w:style>
  <w:style w:type="paragraph" w:customStyle="1" w:styleId="Style11">
    <w:name w:val="Style1.1"/>
    <w:basedOn w:val="BodyText"/>
    <w:link w:val="Style11Char"/>
    <w:qFormat/>
    <w:rsid w:val="003B5919"/>
    <w:pPr>
      <w:tabs>
        <w:tab w:val="num" w:pos="-806"/>
      </w:tabs>
      <w:spacing w:before="240" w:after="120"/>
      <w:ind w:left="-806" w:hanging="567"/>
      <w:jc w:val="both"/>
    </w:pPr>
    <w:rPr>
      <w:rFonts w:ascii="Arial" w:eastAsia="MS Mincho" w:hAnsi="Arial"/>
      <w:b/>
      <w:sz w:val="24"/>
      <w:szCs w:val="20"/>
      <w:lang w:val="en-US"/>
    </w:rPr>
  </w:style>
  <w:style w:type="character" w:customStyle="1" w:styleId="Style11Char">
    <w:name w:val="Style1.1 Char"/>
    <w:link w:val="Style11"/>
    <w:rsid w:val="003B5919"/>
    <w:rPr>
      <w:rFonts w:ascii="Arial" w:eastAsia="MS Mincho" w:hAnsi="Arial" w:cs="Times New Roman"/>
      <w:b/>
      <w:kern w:val="0"/>
      <w:sz w:val="24"/>
      <w:szCs w:val="20"/>
      <w:lang w:eastAsia="en-US"/>
    </w:rPr>
  </w:style>
  <w:style w:type="paragraph" w:customStyle="1" w:styleId="111Style2">
    <w:name w:val="1.1.1 Style 2"/>
    <w:basedOn w:val="Heading4"/>
    <w:qFormat/>
    <w:rsid w:val="003B5919"/>
    <w:pPr>
      <w:numPr>
        <w:ilvl w:val="0"/>
      </w:numPr>
      <w:tabs>
        <w:tab w:val="num" w:pos="-5500"/>
      </w:tabs>
      <w:spacing w:before="180" w:after="120"/>
      <w:ind w:left="1267" w:hanging="1267"/>
    </w:pPr>
    <w:rPr>
      <w:rFonts w:eastAsia="Arial"/>
      <w:bCs w:val="0"/>
      <w:i w:val="0"/>
      <w:sz w:val="22"/>
      <w:szCs w:val="20"/>
      <w:lang w:val="en-US"/>
    </w:rPr>
  </w:style>
  <w:style w:type="paragraph" w:styleId="TOC4">
    <w:name w:val="toc 4"/>
    <w:basedOn w:val="Normal"/>
    <w:next w:val="Normal"/>
    <w:autoRedefine/>
    <w:uiPriority w:val="39"/>
    <w:rsid w:val="00E92D87"/>
    <w:pPr>
      <w:tabs>
        <w:tab w:val="left" w:pos="1440"/>
        <w:tab w:val="right" w:leader="dot" w:pos="9631"/>
      </w:tabs>
      <w:ind w:left="601"/>
    </w:pPr>
  </w:style>
  <w:style w:type="character" w:customStyle="1" w:styleId="ListParagraphChar">
    <w:name w:val="List Paragraph Char"/>
    <w:aliases w:val="- Bullets Char"/>
    <w:link w:val="ListParagraph"/>
    <w:uiPriority w:val="34"/>
    <w:qFormat/>
    <w:rsid w:val="006C63DB"/>
    <w:rPr>
      <w:rFonts w:ascii="Times" w:eastAsia="Batang" w:hAnsi="Times" w:cs="Times New Roman"/>
      <w:kern w:val="0"/>
      <w:sz w:val="20"/>
      <w:szCs w:val="24"/>
      <w:lang w:val="en-GB" w:eastAsia="en-US"/>
    </w:rPr>
  </w:style>
  <w:style w:type="paragraph" w:styleId="Revision">
    <w:name w:val="Revision"/>
    <w:hidden/>
    <w:uiPriority w:val="99"/>
    <w:semiHidden/>
    <w:rsid w:val="005C25A8"/>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0960">
      <w:bodyDiv w:val="1"/>
      <w:marLeft w:val="0"/>
      <w:marRight w:val="0"/>
      <w:marTop w:val="0"/>
      <w:marBottom w:val="0"/>
      <w:divBdr>
        <w:top w:val="none" w:sz="0" w:space="0" w:color="auto"/>
        <w:left w:val="none" w:sz="0" w:space="0" w:color="auto"/>
        <w:bottom w:val="none" w:sz="0" w:space="0" w:color="auto"/>
        <w:right w:val="none" w:sz="0" w:space="0" w:color="auto"/>
      </w:divBdr>
    </w:div>
    <w:div w:id="47998491">
      <w:bodyDiv w:val="1"/>
      <w:marLeft w:val="0"/>
      <w:marRight w:val="0"/>
      <w:marTop w:val="0"/>
      <w:marBottom w:val="0"/>
      <w:divBdr>
        <w:top w:val="none" w:sz="0" w:space="0" w:color="auto"/>
        <w:left w:val="none" w:sz="0" w:space="0" w:color="auto"/>
        <w:bottom w:val="none" w:sz="0" w:space="0" w:color="auto"/>
        <w:right w:val="none" w:sz="0" w:space="0" w:color="auto"/>
      </w:divBdr>
    </w:div>
    <w:div w:id="52772625">
      <w:bodyDiv w:val="1"/>
      <w:marLeft w:val="0"/>
      <w:marRight w:val="0"/>
      <w:marTop w:val="0"/>
      <w:marBottom w:val="0"/>
      <w:divBdr>
        <w:top w:val="none" w:sz="0" w:space="0" w:color="auto"/>
        <w:left w:val="none" w:sz="0" w:space="0" w:color="auto"/>
        <w:bottom w:val="none" w:sz="0" w:space="0" w:color="auto"/>
        <w:right w:val="none" w:sz="0" w:space="0" w:color="auto"/>
      </w:divBdr>
    </w:div>
    <w:div w:id="81806510">
      <w:bodyDiv w:val="1"/>
      <w:marLeft w:val="0"/>
      <w:marRight w:val="0"/>
      <w:marTop w:val="0"/>
      <w:marBottom w:val="0"/>
      <w:divBdr>
        <w:top w:val="none" w:sz="0" w:space="0" w:color="auto"/>
        <w:left w:val="none" w:sz="0" w:space="0" w:color="auto"/>
        <w:bottom w:val="none" w:sz="0" w:space="0" w:color="auto"/>
        <w:right w:val="none" w:sz="0" w:space="0" w:color="auto"/>
      </w:divBdr>
    </w:div>
    <w:div w:id="82454681">
      <w:bodyDiv w:val="1"/>
      <w:marLeft w:val="0"/>
      <w:marRight w:val="0"/>
      <w:marTop w:val="0"/>
      <w:marBottom w:val="0"/>
      <w:divBdr>
        <w:top w:val="none" w:sz="0" w:space="0" w:color="auto"/>
        <w:left w:val="none" w:sz="0" w:space="0" w:color="auto"/>
        <w:bottom w:val="none" w:sz="0" w:space="0" w:color="auto"/>
        <w:right w:val="none" w:sz="0" w:space="0" w:color="auto"/>
      </w:divBdr>
    </w:div>
    <w:div w:id="157621505">
      <w:bodyDiv w:val="1"/>
      <w:marLeft w:val="0"/>
      <w:marRight w:val="0"/>
      <w:marTop w:val="0"/>
      <w:marBottom w:val="0"/>
      <w:divBdr>
        <w:top w:val="none" w:sz="0" w:space="0" w:color="auto"/>
        <w:left w:val="none" w:sz="0" w:space="0" w:color="auto"/>
        <w:bottom w:val="none" w:sz="0" w:space="0" w:color="auto"/>
        <w:right w:val="none" w:sz="0" w:space="0" w:color="auto"/>
      </w:divBdr>
    </w:div>
    <w:div w:id="160513653">
      <w:bodyDiv w:val="1"/>
      <w:marLeft w:val="0"/>
      <w:marRight w:val="0"/>
      <w:marTop w:val="0"/>
      <w:marBottom w:val="0"/>
      <w:divBdr>
        <w:top w:val="none" w:sz="0" w:space="0" w:color="auto"/>
        <w:left w:val="none" w:sz="0" w:space="0" w:color="auto"/>
        <w:bottom w:val="none" w:sz="0" w:space="0" w:color="auto"/>
        <w:right w:val="none" w:sz="0" w:space="0" w:color="auto"/>
      </w:divBdr>
    </w:div>
    <w:div w:id="196239380">
      <w:bodyDiv w:val="1"/>
      <w:marLeft w:val="0"/>
      <w:marRight w:val="0"/>
      <w:marTop w:val="0"/>
      <w:marBottom w:val="0"/>
      <w:divBdr>
        <w:top w:val="none" w:sz="0" w:space="0" w:color="auto"/>
        <w:left w:val="none" w:sz="0" w:space="0" w:color="auto"/>
        <w:bottom w:val="none" w:sz="0" w:space="0" w:color="auto"/>
        <w:right w:val="none" w:sz="0" w:space="0" w:color="auto"/>
      </w:divBdr>
    </w:div>
    <w:div w:id="237860081">
      <w:bodyDiv w:val="1"/>
      <w:marLeft w:val="0"/>
      <w:marRight w:val="0"/>
      <w:marTop w:val="0"/>
      <w:marBottom w:val="0"/>
      <w:divBdr>
        <w:top w:val="none" w:sz="0" w:space="0" w:color="auto"/>
        <w:left w:val="none" w:sz="0" w:space="0" w:color="auto"/>
        <w:bottom w:val="none" w:sz="0" w:space="0" w:color="auto"/>
        <w:right w:val="none" w:sz="0" w:space="0" w:color="auto"/>
      </w:divBdr>
      <w:divsChild>
        <w:div w:id="308635369">
          <w:marLeft w:val="461"/>
          <w:marRight w:val="0"/>
          <w:marTop w:val="106"/>
          <w:marBottom w:val="53"/>
          <w:divBdr>
            <w:top w:val="none" w:sz="0" w:space="0" w:color="auto"/>
            <w:left w:val="none" w:sz="0" w:space="0" w:color="auto"/>
            <w:bottom w:val="none" w:sz="0" w:space="0" w:color="auto"/>
            <w:right w:val="none" w:sz="0" w:space="0" w:color="auto"/>
          </w:divBdr>
        </w:div>
      </w:divsChild>
    </w:div>
    <w:div w:id="254949125">
      <w:bodyDiv w:val="1"/>
      <w:marLeft w:val="0"/>
      <w:marRight w:val="0"/>
      <w:marTop w:val="0"/>
      <w:marBottom w:val="0"/>
      <w:divBdr>
        <w:top w:val="none" w:sz="0" w:space="0" w:color="auto"/>
        <w:left w:val="none" w:sz="0" w:space="0" w:color="auto"/>
        <w:bottom w:val="none" w:sz="0" w:space="0" w:color="auto"/>
        <w:right w:val="none" w:sz="0" w:space="0" w:color="auto"/>
      </w:divBdr>
    </w:div>
    <w:div w:id="391123711">
      <w:bodyDiv w:val="1"/>
      <w:marLeft w:val="0"/>
      <w:marRight w:val="0"/>
      <w:marTop w:val="0"/>
      <w:marBottom w:val="0"/>
      <w:divBdr>
        <w:top w:val="none" w:sz="0" w:space="0" w:color="auto"/>
        <w:left w:val="none" w:sz="0" w:space="0" w:color="auto"/>
        <w:bottom w:val="none" w:sz="0" w:space="0" w:color="auto"/>
        <w:right w:val="none" w:sz="0" w:space="0" w:color="auto"/>
      </w:divBdr>
    </w:div>
    <w:div w:id="413404510">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9110137">
      <w:bodyDiv w:val="1"/>
      <w:marLeft w:val="0"/>
      <w:marRight w:val="0"/>
      <w:marTop w:val="0"/>
      <w:marBottom w:val="0"/>
      <w:divBdr>
        <w:top w:val="none" w:sz="0" w:space="0" w:color="auto"/>
        <w:left w:val="none" w:sz="0" w:space="0" w:color="auto"/>
        <w:bottom w:val="none" w:sz="0" w:space="0" w:color="auto"/>
        <w:right w:val="none" w:sz="0" w:space="0" w:color="auto"/>
      </w:divBdr>
    </w:div>
    <w:div w:id="438840733">
      <w:bodyDiv w:val="1"/>
      <w:marLeft w:val="0"/>
      <w:marRight w:val="0"/>
      <w:marTop w:val="0"/>
      <w:marBottom w:val="0"/>
      <w:divBdr>
        <w:top w:val="none" w:sz="0" w:space="0" w:color="auto"/>
        <w:left w:val="none" w:sz="0" w:space="0" w:color="auto"/>
        <w:bottom w:val="none" w:sz="0" w:space="0" w:color="auto"/>
        <w:right w:val="none" w:sz="0" w:space="0" w:color="auto"/>
      </w:divBdr>
    </w:div>
    <w:div w:id="451941039">
      <w:bodyDiv w:val="1"/>
      <w:marLeft w:val="0"/>
      <w:marRight w:val="0"/>
      <w:marTop w:val="0"/>
      <w:marBottom w:val="0"/>
      <w:divBdr>
        <w:top w:val="none" w:sz="0" w:space="0" w:color="auto"/>
        <w:left w:val="none" w:sz="0" w:space="0" w:color="auto"/>
        <w:bottom w:val="none" w:sz="0" w:space="0" w:color="auto"/>
        <w:right w:val="none" w:sz="0" w:space="0" w:color="auto"/>
      </w:divBdr>
    </w:div>
    <w:div w:id="459764577">
      <w:bodyDiv w:val="1"/>
      <w:marLeft w:val="0"/>
      <w:marRight w:val="0"/>
      <w:marTop w:val="0"/>
      <w:marBottom w:val="0"/>
      <w:divBdr>
        <w:top w:val="none" w:sz="0" w:space="0" w:color="auto"/>
        <w:left w:val="none" w:sz="0" w:space="0" w:color="auto"/>
        <w:bottom w:val="none" w:sz="0" w:space="0" w:color="auto"/>
        <w:right w:val="none" w:sz="0" w:space="0" w:color="auto"/>
      </w:divBdr>
    </w:div>
    <w:div w:id="487945597">
      <w:bodyDiv w:val="1"/>
      <w:marLeft w:val="0"/>
      <w:marRight w:val="0"/>
      <w:marTop w:val="0"/>
      <w:marBottom w:val="0"/>
      <w:divBdr>
        <w:top w:val="none" w:sz="0" w:space="0" w:color="auto"/>
        <w:left w:val="none" w:sz="0" w:space="0" w:color="auto"/>
        <w:bottom w:val="none" w:sz="0" w:space="0" w:color="auto"/>
        <w:right w:val="none" w:sz="0" w:space="0" w:color="auto"/>
      </w:divBdr>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232027">
      <w:bodyDiv w:val="1"/>
      <w:marLeft w:val="0"/>
      <w:marRight w:val="0"/>
      <w:marTop w:val="0"/>
      <w:marBottom w:val="0"/>
      <w:divBdr>
        <w:top w:val="none" w:sz="0" w:space="0" w:color="auto"/>
        <w:left w:val="none" w:sz="0" w:space="0" w:color="auto"/>
        <w:bottom w:val="none" w:sz="0" w:space="0" w:color="auto"/>
        <w:right w:val="none" w:sz="0" w:space="0" w:color="auto"/>
      </w:divBdr>
    </w:div>
    <w:div w:id="519045755">
      <w:bodyDiv w:val="1"/>
      <w:marLeft w:val="0"/>
      <w:marRight w:val="0"/>
      <w:marTop w:val="0"/>
      <w:marBottom w:val="0"/>
      <w:divBdr>
        <w:top w:val="none" w:sz="0" w:space="0" w:color="auto"/>
        <w:left w:val="none" w:sz="0" w:space="0" w:color="auto"/>
        <w:bottom w:val="none" w:sz="0" w:space="0" w:color="auto"/>
        <w:right w:val="none" w:sz="0" w:space="0" w:color="auto"/>
      </w:divBdr>
    </w:div>
    <w:div w:id="590510034">
      <w:bodyDiv w:val="1"/>
      <w:marLeft w:val="0"/>
      <w:marRight w:val="0"/>
      <w:marTop w:val="0"/>
      <w:marBottom w:val="0"/>
      <w:divBdr>
        <w:top w:val="none" w:sz="0" w:space="0" w:color="auto"/>
        <w:left w:val="none" w:sz="0" w:space="0" w:color="auto"/>
        <w:bottom w:val="none" w:sz="0" w:space="0" w:color="auto"/>
        <w:right w:val="none" w:sz="0" w:space="0" w:color="auto"/>
      </w:divBdr>
    </w:div>
    <w:div w:id="598606706">
      <w:bodyDiv w:val="1"/>
      <w:marLeft w:val="0"/>
      <w:marRight w:val="0"/>
      <w:marTop w:val="0"/>
      <w:marBottom w:val="0"/>
      <w:divBdr>
        <w:top w:val="none" w:sz="0" w:space="0" w:color="auto"/>
        <w:left w:val="none" w:sz="0" w:space="0" w:color="auto"/>
        <w:bottom w:val="none" w:sz="0" w:space="0" w:color="auto"/>
        <w:right w:val="none" w:sz="0" w:space="0" w:color="auto"/>
      </w:divBdr>
    </w:div>
    <w:div w:id="632371544">
      <w:bodyDiv w:val="1"/>
      <w:marLeft w:val="0"/>
      <w:marRight w:val="0"/>
      <w:marTop w:val="0"/>
      <w:marBottom w:val="0"/>
      <w:divBdr>
        <w:top w:val="none" w:sz="0" w:space="0" w:color="auto"/>
        <w:left w:val="none" w:sz="0" w:space="0" w:color="auto"/>
        <w:bottom w:val="none" w:sz="0" w:space="0" w:color="auto"/>
        <w:right w:val="none" w:sz="0" w:space="0" w:color="auto"/>
      </w:divBdr>
    </w:div>
    <w:div w:id="632834496">
      <w:bodyDiv w:val="1"/>
      <w:marLeft w:val="0"/>
      <w:marRight w:val="0"/>
      <w:marTop w:val="0"/>
      <w:marBottom w:val="0"/>
      <w:divBdr>
        <w:top w:val="none" w:sz="0" w:space="0" w:color="auto"/>
        <w:left w:val="none" w:sz="0" w:space="0" w:color="auto"/>
        <w:bottom w:val="none" w:sz="0" w:space="0" w:color="auto"/>
        <w:right w:val="none" w:sz="0" w:space="0" w:color="auto"/>
      </w:divBdr>
    </w:div>
    <w:div w:id="652416665">
      <w:bodyDiv w:val="1"/>
      <w:marLeft w:val="0"/>
      <w:marRight w:val="0"/>
      <w:marTop w:val="0"/>
      <w:marBottom w:val="0"/>
      <w:divBdr>
        <w:top w:val="none" w:sz="0" w:space="0" w:color="auto"/>
        <w:left w:val="none" w:sz="0" w:space="0" w:color="auto"/>
        <w:bottom w:val="none" w:sz="0" w:space="0" w:color="auto"/>
        <w:right w:val="none" w:sz="0" w:space="0" w:color="auto"/>
      </w:divBdr>
    </w:div>
    <w:div w:id="701249605">
      <w:bodyDiv w:val="1"/>
      <w:marLeft w:val="0"/>
      <w:marRight w:val="0"/>
      <w:marTop w:val="0"/>
      <w:marBottom w:val="0"/>
      <w:divBdr>
        <w:top w:val="none" w:sz="0" w:space="0" w:color="auto"/>
        <w:left w:val="none" w:sz="0" w:space="0" w:color="auto"/>
        <w:bottom w:val="none" w:sz="0" w:space="0" w:color="auto"/>
        <w:right w:val="none" w:sz="0" w:space="0" w:color="auto"/>
      </w:divBdr>
      <w:divsChild>
        <w:div w:id="506023552">
          <w:marLeft w:val="461"/>
          <w:marRight w:val="0"/>
          <w:marTop w:val="115"/>
          <w:marBottom w:val="58"/>
          <w:divBdr>
            <w:top w:val="none" w:sz="0" w:space="0" w:color="auto"/>
            <w:left w:val="none" w:sz="0" w:space="0" w:color="auto"/>
            <w:bottom w:val="none" w:sz="0" w:space="0" w:color="auto"/>
            <w:right w:val="none" w:sz="0" w:space="0" w:color="auto"/>
          </w:divBdr>
        </w:div>
      </w:divsChild>
    </w:div>
    <w:div w:id="718624179">
      <w:bodyDiv w:val="1"/>
      <w:marLeft w:val="0"/>
      <w:marRight w:val="0"/>
      <w:marTop w:val="0"/>
      <w:marBottom w:val="0"/>
      <w:divBdr>
        <w:top w:val="none" w:sz="0" w:space="0" w:color="auto"/>
        <w:left w:val="none" w:sz="0" w:space="0" w:color="auto"/>
        <w:bottom w:val="none" w:sz="0" w:space="0" w:color="auto"/>
        <w:right w:val="none" w:sz="0" w:space="0" w:color="auto"/>
      </w:divBdr>
      <w:divsChild>
        <w:div w:id="1925066806">
          <w:marLeft w:val="922"/>
          <w:marRight w:val="0"/>
          <w:marTop w:val="96"/>
          <w:marBottom w:val="48"/>
          <w:divBdr>
            <w:top w:val="none" w:sz="0" w:space="0" w:color="auto"/>
            <w:left w:val="none" w:sz="0" w:space="0" w:color="auto"/>
            <w:bottom w:val="none" w:sz="0" w:space="0" w:color="auto"/>
            <w:right w:val="none" w:sz="0" w:space="0" w:color="auto"/>
          </w:divBdr>
        </w:div>
      </w:divsChild>
    </w:div>
    <w:div w:id="722869496">
      <w:bodyDiv w:val="1"/>
      <w:marLeft w:val="0"/>
      <w:marRight w:val="0"/>
      <w:marTop w:val="0"/>
      <w:marBottom w:val="0"/>
      <w:divBdr>
        <w:top w:val="none" w:sz="0" w:space="0" w:color="auto"/>
        <w:left w:val="none" w:sz="0" w:space="0" w:color="auto"/>
        <w:bottom w:val="none" w:sz="0" w:space="0" w:color="auto"/>
        <w:right w:val="none" w:sz="0" w:space="0" w:color="auto"/>
      </w:divBdr>
      <w:divsChild>
        <w:div w:id="1965846415">
          <w:marLeft w:val="461"/>
          <w:marRight w:val="0"/>
          <w:marTop w:val="115"/>
          <w:marBottom w:val="58"/>
          <w:divBdr>
            <w:top w:val="none" w:sz="0" w:space="0" w:color="auto"/>
            <w:left w:val="none" w:sz="0" w:space="0" w:color="auto"/>
            <w:bottom w:val="none" w:sz="0" w:space="0" w:color="auto"/>
            <w:right w:val="none" w:sz="0" w:space="0" w:color="auto"/>
          </w:divBdr>
        </w:div>
        <w:div w:id="1621305375">
          <w:marLeft w:val="461"/>
          <w:marRight w:val="0"/>
          <w:marTop w:val="115"/>
          <w:marBottom w:val="58"/>
          <w:divBdr>
            <w:top w:val="none" w:sz="0" w:space="0" w:color="auto"/>
            <w:left w:val="none" w:sz="0" w:space="0" w:color="auto"/>
            <w:bottom w:val="none" w:sz="0" w:space="0" w:color="auto"/>
            <w:right w:val="none" w:sz="0" w:space="0" w:color="auto"/>
          </w:divBdr>
        </w:div>
        <w:div w:id="888228420">
          <w:marLeft w:val="461"/>
          <w:marRight w:val="0"/>
          <w:marTop w:val="115"/>
          <w:marBottom w:val="58"/>
          <w:divBdr>
            <w:top w:val="none" w:sz="0" w:space="0" w:color="auto"/>
            <w:left w:val="none" w:sz="0" w:space="0" w:color="auto"/>
            <w:bottom w:val="none" w:sz="0" w:space="0" w:color="auto"/>
            <w:right w:val="none" w:sz="0" w:space="0" w:color="auto"/>
          </w:divBdr>
        </w:div>
      </w:divsChild>
    </w:div>
    <w:div w:id="778375496">
      <w:bodyDiv w:val="1"/>
      <w:marLeft w:val="0"/>
      <w:marRight w:val="0"/>
      <w:marTop w:val="0"/>
      <w:marBottom w:val="0"/>
      <w:divBdr>
        <w:top w:val="none" w:sz="0" w:space="0" w:color="auto"/>
        <w:left w:val="none" w:sz="0" w:space="0" w:color="auto"/>
        <w:bottom w:val="none" w:sz="0" w:space="0" w:color="auto"/>
        <w:right w:val="none" w:sz="0" w:space="0" w:color="auto"/>
      </w:divBdr>
    </w:div>
    <w:div w:id="782925510">
      <w:bodyDiv w:val="1"/>
      <w:marLeft w:val="0"/>
      <w:marRight w:val="0"/>
      <w:marTop w:val="0"/>
      <w:marBottom w:val="0"/>
      <w:divBdr>
        <w:top w:val="none" w:sz="0" w:space="0" w:color="auto"/>
        <w:left w:val="none" w:sz="0" w:space="0" w:color="auto"/>
        <w:bottom w:val="none" w:sz="0" w:space="0" w:color="auto"/>
        <w:right w:val="none" w:sz="0" w:space="0" w:color="auto"/>
      </w:divBdr>
    </w:div>
    <w:div w:id="818422396">
      <w:bodyDiv w:val="1"/>
      <w:marLeft w:val="0"/>
      <w:marRight w:val="0"/>
      <w:marTop w:val="0"/>
      <w:marBottom w:val="0"/>
      <w:divBdr>
        <w:top w:val="none" w:sz="0" w:space="0" w:color="auto"/>
        <w:left w:val="none" w:sz="0" w:space="0" w:color="auto"/>
        <w:bottom w:val="none" w:sz="0" w:space="0" w:color="auto"/>
        <w:right w:val="none" w:sz="0" w:space="0" w:color="auto"/>
      </w:divBdr>
    </w:div>
    <w:div w:id="831485673">
      <w:bodyDiv w:val="1"/>
      <w:marLeft w:val="0"/>
      <w:marRight w:val="0"/>
      <w:marTop w:val="0"/>
      <w:marBottom w:val="0"/>
      <w:divBdr>
        <w:top w:val="none" w:sz="0" w:space="0" w:color="auto"/>
        <w:left w:val="none" w:sz="0" w:space="0" w:color="auto"/>
        <w:bottom w:val="none" w:sz="0" w:space="0" w:color="auto"/>
        <w:right w:val="none" w:sz="0" w:space="0" w:color="auto"/>
      </w:divBdr>
    </w:div>
    <w:div w:id="847257832">
      <w:bodyDiv w:val="1"/>
      <w:marLeft w:val="0"/>
      <w:marRight w:val="0"/>
      <w:marTop w:val="0"/>
      <w:marBottom w:val="0"/>
      <w:divBdr>
        <w:top w:val="none" w:sz="0" w:space="0" w:color="auto"/>
        <w:left w:val="none" w:sz="0" w:space="0" w:color="auto"/>
        <w:bottom w:val="none" w:sz="0" w:space="0" w:color="auto"/>
        <w:right w:val="none" w:sz="0" w:space="0" w:color="auto"/>
      </w:divBdr>
      <w:divsChild>
        <w:div w:id="206380116">
          <w:marLeft w:val="461"/>
          <w:marRight w:val="0"/>
          <w:marTop w:val="115"/>
          <w:marBottom w:val="58"/>
          <w:divBdr>
            <w:top w:val="none" w:sz="0" w:space="0" w:color="auto"/>
            <w:left w:val="none" w:sz="0" w:space="0" w:color="auto"/>
            <w:bottom w:val="none" w:sz="0" w:space="0" w:color="auto"/>
            <w:right w:val="none" w:sz="0" w:space="0" w:color="auto"/>
          </w:divBdr>
        </w:div>
        <w:div w:id="1616518292">
          <w:marLeft w:val="922"/>
          <w:marRight w:val="0"/>
          <w:marTop w:val="96"/>
          <w:marBottom w:val="48"/>
          <w:divBdr>
            <w:top w:val="none" w:sz="0" w:space="0" w:color="auto"/>
            <w:left w:val="none" w:sz="0" w:space="0" w:color="auto"/>
            <w:bottom w:val="none" w:sz="0" w:space="0" w:color="auto"/>
            <w:right w:val="none" w:sz="0" w:space="0" w:color="auto"/>
          </w:divBdr>
        </w:div>
        <w:div w:id="1322545028">
          <w:marLeft w:val="922"/>
          <w:marRight w:val="0"/>
          <w:marTop w:val="96"/>
          <w:marBottom w:val="48"/>
          <w:divBdr>
            <w:top w:val="none" w:sz="0" w:space="0" w:color="auto"/>
            <w:left w:val="none" w:sz="0" w:space="0" w:color="auto"/>
            <w:bottom w:val="none" w:sz="0" w:space="0" w:color="auto"/>
            <w:right w:val="none" w:sz="0" w:space="0" w:color="auto"/>
          </w:divBdr>
        </w:div>
      </w:divsChild>
    </w:div>
    <w:div w:id="900944398">
      <w:bodyDiv w:val="1"/>
      <w:marLeft w:val="0"/>
      <w:marRight w:val="0"/>
      <w:marTop w:val="0"/>
      <w:marBottom w:val="0"/>
      <w:divBdr>
        <w:top w:val="none" w:sz="0" w:space="0" w:color="auto"/>
        <w:left w:val="none" w:sz="0" w:space="0" w:color="auto"/>
        <w:bottom w:val="none" w:sz="0" w:space="0" w:color="auto"/>
        <w:right w:val="none" w:sz="0" w:space="0" w:color="auto"/>
      </w:divBdr>
      <w:divsChild>
        <w:div w:id="1317565439">
          <w:marLeft w:val="922"/>
          <w:marRight w:val="0"/>
          <w:marTop w:val="96"/>
          <w:marBottom w:val="48"/>
          <w:divBdr>
            <w:top w:val="none" w:sz="0" w:space="0" w:color="auto"/>
            <w:left w:val="none" w:sz="0" w:space="0" w:color="auto"/>
            <w:bottom w:val="none" w:sz="0" w:space="0" w:color="auto"/>
            <w:right w:val="none" w:sz="0" w:space="0" w:color="auto"/>
          </w:divBdr>
        </w:div>
      </w:divsChild>
    </w:div>
    <w:div w:id="942881877">
      <w:bodyDiv w:val="1"/>
      <w:marLeft w:val="0"/>
      <w:marRight w:val="0"/>
      <w:marTop w:val="0"/>
      <w:marBottom w:val="0"/>
      <w:divBdr>
        <w:top w:val="none" w:sz="0" w:space="0" w:color="auto"/>
        <w:left w:val="none" w:sz="0" w:space="0" w:color="auto"/>
        <w:bottom w:val="none" w:sz="0" w:space="0" w:color="auto"/>
        <w:right w:val="none" w:sz="0" w:space="0" w:color="auto"/>
      </w:divBdr>
    </w:div>
    <w:div w:id="968969954">
      <w:bodyDiv w:val="1"/>
      <w:marLeft w:val="0"/>
      <w:marRight w:val="0"/>
      <w:marTop w:val="0"/>
      <w:marBottom w:val="0"/>
      <w:divBdr>
        <w:top w:val="none" w:sz="0" w:space="0" w:color="auto"/>
        <w:left w:val="none" w:sz="0" w:space="0" w:color="auto"/>
        <w:bottom w:val="none" w:sz="0" w:space="0" w:color="auto"/>
        <w:right w:val="none" w:sz="0" w:space="0" w:color="auto"/>
      </w:divBdr>
    </w:div>
    <w:div w:id="1042944616">
      <w:bodyDiv w:val="1"/>
      <w:marLeft w:val="0"/>
      <w:marRight w:val="0"/>
      <w:marTop w:val="0"/>
      <w:marBottom w:val="0"/>
      <w:divBdr>
        <w:top w:val="none" w:sz="0" w:space="0" w:color="auto"/>
        <w:left w:val="none" w:sz="0" w:space="0" w:color="auto"/>
        <w:bottom w:val="none" w:sz="0" w:space="0" w:color="auto"/>
        <w:right w:val="none" w:sz="0" w:space="0" w:color="auto"/>
      </w:divBdr>
    </w:div>
    <w:div w:id="1051854359">
      <w:bodyDiv w:val="1"/>
      <w:marLeft w:val="0"/>
      <w:marRight w:val="0"/>
      <w:marTop w:val="0"/>
      <w:marBottom w:val="0"/>
      <w:divBdr>
        <w:top w:val="none" w:sz="0" w:space="0" w:color="auto"/>
        <w:left w:val="none" w:sz="0" w:space="0" w:color="auto"/>
        <w:bottom w:val="none" w:sz="0" w:space="0" w:color="auto"/>
        <w:right w:val="none" w:sz="0" w:space="0" w:color="auto"/>
      </w:divBdr>
    </w:div>
    <w:div w:id="1072124571">
      <w:bodyDiv w:val="1"/>
      <w:marLeft w:val="0"/>
      <w:marRight w:val="0"/>
      <w:marTop w:val="0"/>
      <w:marBottom w:val="0"/>
      <w:divBdr>
        <w:top w:val="none" w:sz="0" w:space="0" w:color="auto"/>
        <w:left w:val="none" w:sz="0" w:space="0" w:color="auto"/>
        <w:bottom w:val="none" w:sz="0" w:space="0" w:color="auto"/>
        <w:right w:val="none" w:sz="0" w:space="0" w:color="auto"/>
      </w:divBdr>
    </w:div>
    <w:div w:id="1170874723">
      <w:bodyDiv w:val="1"/>
      <w:marLeft w:val="0"/>
      <w:marRight w:val="0"/>
      <w:marTop w:val="0"/>
      <w:marBottom w:val="0"/>
      <w:divBdr>
        <w:top w:val="none" w:sz="0" w:space="0" w:color="auto"/>
        <w:left w:val="none" w:sz="0" w:space="0" w:color="auto"/>
        <w:bottom w:val="none" w:sz="0" w:space="0" w:color="auto"/>
        <w:right w:val="none" w:sz="0" w:space="0" w:color="auto"/>
      </w:divBdr>
    </w:div>
    <w:div w:id="1180855062">
      <w:bodyDiv w:val="1"/>
      <w:marLeft w:val="0"/>
      <w:marRight w:val="0"/>
      <w:marTop w:val="0"/>
      <w:marBottom w:val="0"/>
      <w:divBdr>
        <w:top w:val="none" w:sz="0" w:space="0" w:color="auto"/>
        <w:left w:val="none" w:sz="0" w:space="0" w:color="auto"/>
        <w:bottom w:val="none" w:sz="0" w:space="0" w:color="auto"/>
        <w:right w:val="none" w:sz="0" w:space="0" w:color="auto"/>
      </w:divBdr>
    </w:div>
    <w:div w:id="1189484234">
      <w:bodyDiv w:val="1"/>
      <w:marLeft w:val="0"/>
      <w:marRight w:val="0"/>
      <w:marTop w:val="0"/>
      <w:marBottom w:val="0"/>
      <w:divBdr>
        <w:top w:val="none" w:sz="0" w:space="0" w:color="auto"/>
        <w:left w:val="none" w:sz="0" w:space="0" w:color="auto"/>
        <w:bottom w:val="none" w:sz="0" w:space="0" w:color="auto"/>
        <w:right w:val="none" w:sz="0" w:space="0" w:color="auto"/>
      </w:divBdr>
      <w:divsChild>
        <w:div w:id="959070268">
          <w:marLeft w:val="1253"/>
          <w:marRight w:val="0"/>
          <w:marTop w:val="86"/>
          <w:marBottom w:val="43"/>
          <w:divBdr>
            <w:top w:val="none" w:sz="0" w:space="0" w:color="auto"/>
            <w:left w:val="none" w:sz="0" w:space="0" w:color="auto"/>
            <w:bottom w:val="none" w:sz="0" w:space="0" w:color="auto"/>
            <w:right w:val="none" w:sz="0" w:space="0" w:color="auto"/>
          </w:divBdr>
        </w:div>
        <w:div w:id="1925067801">
          <w:marLeft w:val="1253"/>
          <w:marRight w:val="0"/>
          <w:marTop w:val="86"/>
          <w:marBottom w:val="43"/>
          <w:divBdr>
            <w:top w:val="none" w:sz="0" w:space="0" w:color="auto"/>
            <w:left w:val="none" w:sz="0" w:space="0" w:color="auto"/>
            <w:bottom w:val="none" w:sz="0" w:space="0" w:color="auto"/>
            <w:right w:val="none" w:sz="0" w:space="0" w:color="auto"/>
          </w:divBdr>
        </w:div>
      </w:divsChild>
    </w:div>
    <w:div w:id="1197159015">
      <w:bodyDiv w:val="1"/>
      <w:marLeft w:val="0"/>
      <w:marRight w:val="0"/>
      <w:marTop w:val="0"/>
      <w:marBottom w:val="0"/>
      <w:divBdr>
        <w:top w:val="none" w:sz="0" w:space="0" w:color="auto"/>
        <w:left w:val="none" w:sz="0" w:space="0" w:color="auto"/>
        <w:bottom w:val="none" w:sz="0" w:space="0" w:color="auto"/>
        <w:right w:val="none" w:sz="0" w:space="0" w:color="auto"/>
      </w:divBdr>
    </w:div>
    <w:div w:id="1203516580">
      <w:bodyDiv w:val="1"/>
      <w:marLeft w:val="0"/>
      <w:marRight w:val="0"/>
      <w:marTop w:val="0"/>
      <w:marBottom w:val="0"/>
      <w:divBdr>
        <w:top w:val="none" w:sz="0" w:space="0" w:color="auto"/>
        <w:left w:val="none" w:sz="0" w:space="0" w:color="auto"/>
        <w:bottom w:val="none" w:sz="0" w:space="0" w:color="auto"/>
        <w:right w:val="none" w:sz="0" w:space="0" w:color="auto"/>
      </w:divBdr>
    </w:div>
    <w:div w:id="1218123129">
      <w:bodyDiv w:val="1"/>
      <w:marLeft w:val="0"/>
      <w:marRight w:val="0"/>
      <w:marTop w:val="0"/>
      <w:marBottom w:val="0"/>
      <w:divBdr>
        <w:top w:val="none" w:sz="0" w:space="0" w:color="auto"/>
        <w:left w:val="none" w:sz="0" w:space="0" w:color="auto"/>
        <w:bottom w:val="none" w:sz="0" w:space="0" w:color="auto"/>
        <w:right w:val="none" w:sz="0" w:space="0" w:color="auto"/>
      </w:divBdr>
      <w:divsChild>
        <w:div w:id="353115444">
          <w:marLeft w:val="461"/>
          <w:marRight w:val="0"/>
          <w:marTop w:val="115"/>
          <w:marBottom w:val="58"/>
          <w:divBdr>
            <w:top w:val="none" w:sz="0" w:space="0" w:color="auto"/>
            <w:left w:val="none" w:sz="0" w:space="0" w:color="auto"/>
            <w:bottom w:val="none" w:sz="0" w:space="0" w:color="auto"/>
            <w:right w:val="none" w:sz="0" w:space="0" w:color="auto"/>
          </w:divBdr>
        </w:div>
        <w:div w:id="1512599439">
          <w:marLeft w:val="922"/>
          <w:marRight w:val="0"/>
          <w:marTop w:val="96"/>
          <w:marBottom w:val="48"/>
          <w:divBdr>
            <w:top w:val="none" w:sz="0" w:space="0" w:color="auto"/>
            <w:left w:val="none" w:sz="0" w:space="0" w:color="auto"/>
            <w:bottom w:val="none" w:sz="0" w:space="0" w:color="auto"/>
            <w:right w:val="none" w:sz="0" w:space="0" w:color="auto"/>
          </w:divBdr>
        </w:div>
        <w:div w:id="1880313877">
          <w:marLeft w:val="922"/>
          <w:marRight w:val="0"/>
          <w:marTop w:val="96"/>
          <w:marBottom w:val="48"/>
          <w:divBdr>
            <w:top w:val="none" w:sz="0" w:space="0" w:color="auto"/>
            <w:left w:val="none" w:sz="0" w:space="0" w:color="auto"/>
            <w:bottom w:val="none" w:sz="0" w:space="0" w:color="auto"/>
            <w:right w:val="none" w:sz="0" w:space="0" w:color="auto"/>
          </w:divBdr>
        </w:div>
        <w:div w:id="100302072">
          <w:marLeft w:val="922"/>
          <w:marRight w:val="0"/>
          <w:marTop w:val="96"/>
          <w:marBottom w:val="48"/>
          <w:divBdr>
            <w:top w:val="none" w:sz="0" w:space="0" w:color="auto"/>
            <w:left w:val="none" w:sz="0" w:space="0" w:color="auto"/>
            <w:bottom w:val="none" w:sz="0" w:space="0" w:color="auto"/>
            <w:right w:val="none" w:sz="0" w:space="0" w:color="auto"/>
          </w:divBdr>
        </w:div>
        <w:div w:id="710960411">
          <w:marLeft w:val="461"/>
          <w:marRight w:val="0"/>
          <w:marTop w:val="115"/>
          <w:marBottom w:val="58"/>
          <w:divBdr>
            <w:top w:val="none" w:sz="0" w:space="0" w:color="auto"/>
            <w:left w:val="none" w:sz="0" w:space="0" w:color="auto"/>
            <w:bottom w:val="none" w:sz="0" w:space="0" w:color="auto"/>
            <w:right w:val="none" w:sz="0" w:space="0" w:color="auto"/>
          </w:divBdr>
        </w:div>
        <w:div w:id="890770224">
          <w:marLeft w:val="922"/>
          <w:marRight w:val="0"/>
          <w:marTop w:val="96"/>
          <w:marBottom w:val="48"/>
          <w:divBdr>
            <w:top w:val="none" w:sz="0" w:space="0" w:color="auto"/>
            <w:left w:val="none" w:sz="0" w:space="0" w:color="auto"/>
            <w:bottom w:val="none" w:sz="0" w:space="0" w:color="auto"/>
            <w:right w:val="none" w:sz="0" w:space="0" w:color="auto"/>
          </w:divBdr>
        </w:div>
        <w:div w:id="652760609">
          <w:marLeft w:val="461"/>
          <w:marRight w:val="0"/>
          <w:marTop w:val="115"/>
          <w:marBottom w:val="58"/>
          <w:divBdr>
            <w:top w:val="none" w:sz="0" w:space="0" w:color="auto"/>
            <w:left w:val="none" w:sz="0" w:space="0" w:color="auto"/>
            <w:bottom w:val="none" w:sz="0" w:space="0" w:color="auto"/>
            <w:right w:val="none" w:sz="0" w:space="0" w:color="auto"/>
          </w:divBdr>
        </w:div>
        <w:div w:id="819230766">
          <w:marLeft w:val="922"/>
          <w:marRight w:val="0"/>
          <w:marTop w:val="96"/>
          <w:marBottom w:val="48"/>
          <w:divBdr>
            <w:top w:val="none" w:sz="0" w:space="0" w:color="auto"/>
            <w:left w:val="none" w:sz="0" w:space="0" w:color="auto"/>
            <w:bottom w:val="none" w:sz="0" w:space="0" w:color="auto"/>
            <w:right w:val="none" w:sz="0" w:space="0" w:color="auto"/>
          </w:divBdr>
        </w:div>
        <w:div w:id="726492196">
          <w:marLeft w:val="1253"/>
          <w:marRight w:val="0"/>
          <w:marTop w:val="86"/>
          <w:marBottom w:val="43"/>
          <w:divBdr>
            <w:top w:val="none" w:sz="0" w:space="0" w:color="auto"/>
            <w:left w:val="none" w:sz="0" w:space="0" w:color="auto"/>
            <w:bottom w:val="none" w:sz="0" w:space="0" w:color="auto"/>
            <w:right w:val="none" w:sz="0" w:space="0" w:color="auto"/>
          </w:divBdr>
        </w:div>
        <w:div w:id="1427654299">
          <w:marLeft w:val="1253"/>
          <w:marRight w:val="0"/>
          <w:marTop w:val="86"/>
          <w:marBottom w:val="43"/>
          <w:divBdr>
            <w:top w:val="none" w:sz="0" w:space="0" w:color="auto"/>
            <w:left w:val="none" w:sz="0" w:space="0" w:color="auto"/>
            <w:bottom w:val="none" w:sz="0" w:space="0" w:color="auto"/>
            <w:right w:val="none" w:sz="0" w:space="0" w:color="auto"/>
          </w:divBdr>
        </w:div>
      </w:divsChild>
    </w:div>
    <w:div w:id="1237477784">
      <w:bodyDiv w:val="1"/>
      <w:marLeft w:val="0"/>
      <w:marRight w:val="0"/>
      <w:marTop w:val="0"/>
      <w:marBottom w:val="0"/>
      <w:divBdr>
        <w:top w:val="none" w:sz="0" w:space="0" w:color="auto"/>
        <w:left w:val="none" w:sz="0" w:space="0" w:color="auto"/>
        <w:bottom w:val="none" w:sz="0" w:space="0" w:color="auto"/>
        <w:right w:val="none" w:sz="0" w:space="0" w:color="auto"/>
      </w:divBdr>
    </w:div>
    <w:div w:id="1351882561">
      <w:bodyDiv w:val="1"/>
      <w:marLeft w:val="0"/>
      <w:marRight w:val="0"/>
      <w:marTop w:val="0"/>
      <w:marBottom w:val="0"/>
      <w:divBdr>
        <w:top w:val="none" w:sz="0" w:space="0" w:color="auto"/>
        <w:left w:val="none" w:sz="0" w:space="0" w:color="auto"/>
        <w:bottom w:val="none" w:sz="0" w:space="0" w:color="auto"/>
        <w:right w:val="none" w:sz="0" w:space="0" w:color="auto"/>
      </w:divBdr>
    </w:div>
    <w:div w:id="1389525986">
      <w:bodyDiv w:val="1"/>
      <w:marLeft w:val="0"/>
      <w:marRight w:val="0"/>
      <w:marTop w:val="0"/>
      <w:marBottom w:val="0"/>
      <w:divBdr>
        <w:top w:val="none" w:sz="0" w:space="0" w:color="auto"/>
        <w:left w:val="none" w:sz="0" w:space="0" w:color="auto"/>
        <w:bottom w:val="none" w:sz="0" w:space="0" w:color="auto"/>
        <w:right w:val="none" w:sz="0" w:space="0" w:color="auto"/>
      </w:divBdr>
    </w:div>
    <w:div w:id="1468820886">
      <w:bodyDiv w:val="1"/>
      <w:marLeft w:val="0"/>
      <w:marRight w:val="0"/>
      <w:marTop w:val="0"/>
      <w:marBottom w:val="0"/>
      <w:divBdr>
        <w:top w:val="none" w:sz="0" w:space="0" w:color="auto"/>
        <w:left w:val="none" w:sz="0" w:space="0" w:color="auto"/>
        <w:bottom w:val="none" w:sz="0" w:space="0" w:color="auto"/>
        <w:right w:val="none" w:sz="0" w:space="0" w:color="auto"/>
      </w:divBdr>
    </w:div>
    <w:div w:id="1512913000">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626085896">
      <w:bodyDiv w:val="1"/>
      <w:marLeft w:val="0"/>
      <w:marRight w:val="0"/>
      <w:marTop w:val="0"/>
      <w:marBottom w:val="0"/>
      <w:divBdr>
        <w:top w:val="none" w:sz="0" w:space="0" w:color="auto"/>
        <w:left w:val="none" w:sz="0" w:space="0" w:color="auto"/>
        <w:bottom w:val="none" w:sz="0" w:space="0" w:color="auto"/>
        <w:right w:val="none" w:sz="0" w:space="0" w:color="auto"/>
      </w:divBdr>
    </w:div>
    <w:div w:id="1653481123">
      <w:bodyDiv w:val="1"/>
      <w:marLeft w:val="0"/>
      <w:marRight w:val="0"/>
      <w:marTop w:val="0"/>
      <w:marBottom w:val="0"/>
      <w:divBdr>
        <w:top w:val="none" w:sz="0" w:space="0" w:color="auto"/>
        <w:left w:val="none" w:sz="0" w:space="0" w:color="auto"/>
        <w:bottom w:val="none" w:sz="0" w:space="0" w:color="auto"/>
        <w:right w:val="none" w:sz="0" w:space="0" w:color="auto"/>
      </w:divBdr>
      <w:divsChild>
        <w:div w:id="1828744439">
          <w:marLeft w:val="461"/>
          <w:marRight w:val="0"/>
          <w:marTop w:val="115"/>
          <w:marBottom w:val="58"/>
          <w:divBdr>
            <w:top w:val="none" w:sz="0" w:space="0" w:color="auto"/>
            <w:left w:val="none" w:sz="0" w:space="0" w:color="auto"/>
            <w:bottom w:val="none" w:sz="0" w:space="0" w:color="auto"/>
            <w:right w:val="none" w:sz="0" w:space="0" w:color="auto"/>
          </w:divBdr>
        </w:div>
      </w:divsChild>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275602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6880527">
      <w:bodyDiv w:val="1"/>
      <w:marLeft w:val="0"/>
      <w:marRight w:val="0"/>
      <w:marTop w:val="0"/>
      <w:marBottom w:val="0"/>
      <w:divBdr>
        <w:top w:val="none" w:sz="0" w:space="0" w:color="auto"/>
        <w:left w:val="none" w:sz="0" w:space="0" w:color="auto"/>
        <w:bottom w:val="none" w:sz="0" w:space="0" w:color="auto"/>
        <w:right w:val="none" w:sz="0" w:space="0" w:color="auto"/>
      </w:divBdr>
    </w:div>
    <w:div w:id="1757750737">
      <w:bodyDiv w:val="1"/>
      <w:marLeft w:val="0"/>
      <w:marRight w:val="0"/>
      <w:marTop w:val="0"/>
      <w:marBottom w:val="0"/>
      <w:divBdr>
        <w:top w:val="none" w:sz="0" w:space="0" w:color="auto"/>
        <w:left w:val="none" w:sz="0" w:space="0" w:color="auto"/>
        <w:bottom w:val="none" w:sz="0" w:space="0" w:color="auto"/>
        <w:right w:val="none" w:sz="0" w:space="0" w:color="auto"/>
      </w:divBdr>
    </w:div>
    <w:div w:id="1799446060">
      <w:bodyDiv w:val="1"/>
      <w:marLeft w:val="0"/>
      <w:marRight w:val="0"/>
      <w:marTop w:val="0"/>
      <w:marBottom w:val="0"/>
      <w:divBdr>
        <w:top w:val="none" w:sz="0" w:space="0" w:color="auto"/>
        <w:left w:val="none" w:sz="0" w:space="0" w:color="auto"/>
        <w:bottom w:val="none" w:sz="0" w:space="0" w:color="auto"/>
        <w:right w:val="none" w:sz="0" w:space="0" w:color="auto"/>
      </w:divBdr>
    </w:div>
    <w:div w:id="1855609135">
      <w:bodyDiv w:val="1"/>
      <w:marLeft w:val="0"/>
      <w:marRight w:val="0"/>
      <w:marTop w:val="0"/>
      <w:marBottom w:val="0"/>
      <w:divBdr>
        <w:top w:val="none" w:sz="0" w:space="0" w:color="auto"/>
        <w:left w:val="none" w:sz="0" w:space="0" w:color="auto"/>
        <w:bottom w:val="none" w:sz="0" w:space="0" w:color="auto"/>
        <w:right w:val="none" w:sz="0" w:space="0" w:color="auto"/>
      </w:divBdr>
    </w:div>
    <w:div w:id="1858419426">
      <w:bodyDiv w:val="1"/>
      <w:marLeft w:val="0"/>
      <w:marRight w:val="0"/>
      <w:marTop w:val="0"/>
      <w:marBottom w:val="0"/>
      <w:divBdr>
        <w:top w:val="none" w:sz="0" w:space="0" w:color="auto"/>
        <w:left w:val="none" w:sz="0" w:space="0" w:color="auto"/>
        <w:bottom w:val="none" w:sz="0" w:space="0" w:color="auto"/>
        <w:right w:val="none" w:sz="0" w:space="0" w:color="auto"/>
      </w:divBdr>
    </w:div>
    <w:div w:id="1860510401">
      <w:bodyDiv w:val="1"/>
      <w:marLeft w:val="0"/>
      <w:marRight w:val="0"/>
      <w:marTop w:val="0"/>
      <w:marBottom w:val="0"/>
      <w:divBdr>
        <w:top w:val="none" w:sz="0" w:space="0" w:color="auto"/>
        <w:left w:val="none" w:sz="0" w:space="0" w:color="auto"/>
        <w:bottom w:val="none" w:sz="0" w:space="0" w:color="auto"/>
        <w:right w:val="none" w:sz="0" w:space="0" w:color="auto"/>
      </w:divBdr>
    </w:div>
    <w:div w:id="1862933474">
      <w:bodyDiv w:val="1"/>
      <w:marLeft w:val="0"/>
      <w:marRight w:val="0"/>
      <w:marTop w:val="0"/>
      <w:marBottom w:val="0"/>
      <w:divBdr>
        <w:top w:val="none" w:sz="0" w:space="0" w:color="auto"/>
        <w:left w:val="none" w:sz="0" w:space="0" w:color="auto"/>
        <w:bottom w:val="none" w:sz="0" w:space="0" w:color="auto"/>
        <w:right w:val="none" w:sz="0" w:space="0" w:color="auto"/>
      </w:divBdr>
    </w:div>
    <w:div w:id="1897005644">
      <w:bodyDiv w:val="1"/>
      <w:marLeft w:val="0"/>
      <w:marRight w:val="0"/>
      <w:marTop w:val="0"/>
      <w:marBottom w:val="0"/>
      <w:divBdr>
        <w:top w:val="none" w:sz="0" w:space="0" w:color="auto"/>
        <w:left w:val="none" w:sz="0" w:space="0" w:color="auto"/>
        <w:bottom w:val="none" w:sz="0" w:space="0" w:color="auto"/>
        <w:right w:val="none" w:sz="0" w:space="0" w:color="auto"/>
      </w:divBdr>
    </w:div>
    <w:div w:id="1909226748">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2810556">
      <w:bodyDiv w:val="1"/>
      <w:marLeft w:val="0"/>
      <w:marRight w:val="0"/>
      <w:marTop w:val="0"/>
      <w:marBottom w:val="0"/>
      <w:divBdr>
        <w:top w:val="none" w:sz="0" w:space="0" w:color="auto"/>
        <w:left w:val="none" w:sz="0" w:space="0" w:color="auto"/>
        <w:bottom w:val="none" w:sz="0" w:space="0" w:color="auto"/>
        <w:right w:val="none" w:sz="0" w:space="0" w:color="auto"/>
      </w:divBdr>
    </w:div>
    <w:div w:id="1972590495">
      <w:bodyDiv w:val="1"/>
      <w:marLeft w:val="0"/>
      <w:marRight w:val="0"/>
      <w:marTop w:val="0"/>
      <w:marBottom w:val="0"/>
      <w:divBdr>
        <w:top w:val="none" w:sz="0" w:space="0" w:color="auto"/>
        <w:left w:val="none" w:sz="0" w:space="0" w:color="auto"/>
        <w:bottom w:val="none" w:sz="0" w:space="0" w:color="auto"/>
        <w:right w:val="none" w:sz="0" w:space="0" w:color="auto"/>
      </w:divBdr>
    </w:div>
    <w:div w:id="1981568480">
      <w:bodyDiv w:val="1"/>
      <w:marLeft w:val="0"/>
      <w:marRight w:val="0"/>
      <w:marTop w:val="0"/>
      <w:marBottom w:val="0"/>
      <w:divBdr>
        <w:top w:val="none" w:sz="0" w:space="0" w:color="auto"/>
        <w:left w:val="none" w:sz="0" w:space="0" w:color="auto"/>
        <w:bottom w:val="none" w:sz="0" w:space="0" w:color="auto"/>
        <w:right w:val="none" w:sz="0" w:space="0" w:color="auto"/>
      </w:divBdr>
    </w:div>
    <w:div w:id="1997371519">
      <w:bodyDiv w:val="1"/>
      <w:marLeft w:val="0"/>
      <w:marRight w:val="0"/>
      <w:marTop w:val="0"/>
      <w:marBottom w:val="0"/>
      <w:divBdr>
        <w:top w:val="none" w:sz="0" w:space="0" w:color="auto"/>
        <w:left w:val="none" w:sz="0" w:space="0" w:color="auto"/>
        <w:bottom w:val="none" w:sz="0" w:space="0" w:color="auto"/>
        <w:right w:val="none" w:sz="0" w:space="0" w:color="auto"/>
      </w:divBdr>
    </w:div>
    <w:div w:id="2051103006">
      <w:bodyDiv w:val="1"/>
      <w:marLeft w:val="0"/>
      <w:marRight w:val="0"/>
      <w:marTop w:val="0"/>
      <w:marBottom w:val="0"/>
      <w:divBdr>
        <w:top w:val="none" w:sz="0" w:space="0" w:color="auto"/>
        <w:left w:val="none" w:sz="0" w:space="0" w:color="auto"/>
        <w:bottom w:val="none" w:sz="0" w:space="0" w:color="auto"/>
        <w:right w:val="none" w:sz="0" w:space="0" w:color="auto"/>
      </w:divBdr>
    </w:div>
    <w:div w:id="2071998816">
      <w:bodyDiv w:val="1"/>
      <w:marLeft w:val="0"/>
      <w:marRight w:val="0"/>
      <w:marTop w:val="0"/>
      <w:marBottom w:val="0"/>
      <w:divBdr>
        <w:top w:val="none" w:sz="0" w:space="0" w:color="auto"/>
        <w:left w:val="none" w:sz="0" w:space="0" w:color="auto"/>
        <w:bottom w:val="none" w:sz="0" w:space="0" w:color="auto"/>
        <w:right w:val="none" w:sz="0" w:space="0" w:color="auto"/>
      </w:divBdr>
    </w:div>
    <w:div w:id="2104836841">
      <w:bodyDiv w:val="1"/>
      <w:marLeft w:val="0"/>
      <w:marRight w:val="0"/>
      <w:marTop w:val="0"/>
      <w:marBottom w:val="0"/>
      <w:divBdr>
        <w:top w:val="none" w:sz="0" w:space="0" w:color="auto"/>
        <w:left w:val="none" w:sz="0" w:space="0" w:color="auto"/>
        <w:bottom w:val="none" w:sz="0" w:space="0" w:color="auto"/>
        <w:right w:val="none" w:sz="0" w:space="0" w:color="auto"/>
      </w:divBdr>
    </w:div>
    <w:div w:id="2121994284">
      <w:bodyDiv w:val="1"/>
      <w:marLeft w:val="0"/>
      <w:marRight w:val="0"/>
      <w:marTop w:val="0"/>
      <w:marBottom w:val="0"/>
      <w:divBdr>
        <w:top w:val="none" w:sz="0" w:space="0" w:color="auto"/>
        <w:left w:val="none" w:sz="0" w:space="0" w:color="auto"/>
        <w:bottom w:val="none" w:sz="0" w:space="0" w:color="auto"/>
        <w:right w:val="none" w:sz="0" w:space="0" w:color="auto"/>
      </w:divBdr>
    </w:div>
    <w:div w:id="213340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A8D2B-87C4-41A8-A5F8-67EA1BA3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1409</Words>
  <Characters>8034</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2017-10-02T10:21:00Z</dcterms:created>
  <dcterms:modified xsi:type="dcterms:W3CDTF">2017-10-02T19:05:00Z</dcterms:modified>
</cp:coreProperties>
</file>